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E642" w14:textId="1D81EC7D" w:rsidR="0042636C" w:rsidRPr="00BE7EA6" w:rsidRDefault="0042636C" w:rsidP="001F7E34">
      <w:pPr>
        <w:pStyle w:val="Heading1"/>
        <w:numPr>
          <w:ilvl w:val="0"/>
          <w:numId w:val="0"/>
        </w:numPr>
        <w:jc w:val="both"/>
        <w:rPr>
          <w:rFonts w:ascii="Constantia" w:hAnsi="Constantia"/>
          <w:sz w:val="21"/>
          <w:szCs w:val="21"/>
          <w:lang w:val="sv-SE"/>
        </w:rPr>
      </w:pPr>
      <w:bookmarkStart w:id="0" w:name="_Hlk12911097"/>
      <w:r w:rsidRPr="00BE7EA6">
        <w:rPr>
          <w:rFonts w:ascii="Constantia" w:hAnsi="Constantia"/>
          <w:sz w:val="21"/>
          <w:szCs w:val="21"/>
          <w:lang w:val="sv-SE"/>
        </w:rPr>
        <w:t>VILLKOR FÖR TECKNINGSOPTION</w:t>
      </w:r>
      <w:r w:rsidRPr="00B73D86">
        <w:rPr>
          <w:rFonts w:ascii="Constantia" w:hAnsi="Constantia"/>
          <w:sz w:val="21"/>
          <w:szCs w:val="21"/>
          <w:lang w:val="sv-SE"/>
        </w:rPr>
        <w:t xml:space="preserve">ER </w:t>
      </w:r>
      <w:r w:rsidR="00084831">
        <w:rPr>
          <w:rFonts w:ascii="Constantia" w:hAnsi="Constantia"/>
          <w:sz w:val="21"/>
          <w:szCs w:val="21"/>
          <w:lang w:val="sv-SE"/>
        </w:rPr>
        <w:t xml:space="preserve">av serie </w:t>
      </w:r>
      <w:r w:rsidR="00084831" w:rsidRPr="00084831">
        <w:rPr>
          <w:rFonts w:ascii="Constantia" w:hAnsi="Constantia"/>
          <w:sz w:val="21"/>
          <w:szCs w:val="21"/>
          <w:lang w:val="sv-SE"/>
        </w:rPr>
        <w:t>202</w:t>
      </w:r>
      <w:r w:rsidR="00833E18">
        <w:rPr>
          <w:rFonts w:ascii="Constantia" w:hAnsi="Constantia"/>
          <w:sz w:val="21"/>
          <w:szCs w:val="21"/>
          <w:lang w:val="sv-SE"/>
        </w:rPr>
        <w:t>2</w:t>
      </w:r>
      <w:r w:rsidR="00084831" w:rsidRPr="00084831">
        <w:rPr>
          <w:rFonts w:ascii="Constantia" w:hAnsi="Constantia"/>
          <w:sz w:val="21"/>
          <w:szCs w:val="21"/>
          <w:lang w:val="sv-SE"/>
        </w:rPr>
        <w:t>-202</w:t>
      </w:r>
      <w:r w:rsidR="00833E18">
        <w:rPr>
          <w:rFonts w:ascii="Constantia" w:hAnsi="Constantia"/>
          <w:sz w:val="21"/>
          <w:szCs w:val="21"/>
          <w:lang w:val="sv-SE"/>
        </w:rPr>
        <w:t>6</w:t>
      </w:r>
      <w:r w:rsidR="00F047A6">
        <w:rPr>
          <w:rFonts w:ascii="Constantia" w:hAnsi="Constantia"/>
          <w:sz w:val="21"/>
          <w:szCs w:val="21"/>
          <w:lang w:val="sv-SE"/>
        </w:rPr>
        <w:t>:1</w:t>
      </w:r>
      <w:r w:rsidR="00084831">
        <w:rPr>
          <w:rFonts w:ascii="Constantia" w:hAnsi="Constantia"/>
          <w:sz w:val="21"/>
          <w:szCs w:val="21"/>
          <w:lang w:val="sv-SE"/>
        </w:rPr>
        <w:t xml:space="preserve"> </w:t>
      </w:r>
      <w:r w:rsidRPr="00B73D86">
        <w:rPr>
          <w:rFonts w:ascii="Constantia" w:hAnsi="Constantia"/>
          <w:sz w:val="21"/>
          <w:szCs w:val="21"/>
          <w:lang w:val="sv-SE"/>
        </w:rPr>
        <w:t>AVSEENDE</w:t>
      </w:r>
      <w:r w:rsidRPr="00BE7EA6">
        <w:rPr>
          <w:rFonts w:ascii="Constantia" w:hAnsi="Constantia"/>
          <w:sz w:val="21"/>
          <w:szCs w:val="21"/>
          <w:lang w:val="sv-SE"/>
        </w:rPr>
        <w:t xml:space="preserve"> NYTECKNING AV AKTIER I </w:t>
      </w:r>
      <w:r w:rsidR="00084831" w:rsidRPr="00084831">
        <w:rPr>
          <w:rFonts w:ascii="Constantia" w:hAnsi="Constantia"/>
          <w:sz w:val="21"/>
          <w:szCs w:val="21"/>
          <w:lang w:val="sv-SE"/>
        </w:rPr>
        <w:t xml:space="preserve">Quickbit eu AB (publ) </w:t>
      </w:r>
      <w:r w:rsidRPr="00BE7EA6">
        <w:rPr>
          <w:rFonts w:ascii="Constantia" w:hAnsi="Constantia"/>
          <w:sz w:val="21"/>
          <w:szCs w:val="21"/>
          <w:lang w:val="sv-SE"/>
        </w:rPr>
        <w:t xml:space="preserve">/ </w:t>
      </w:r>
      <w:r w:rsidRPr="00B4441E">
        <w:rPr>
          <w:rFonts w:ascii="Constantia" w:hAnsi="Constantia"/>
          <w:i/>
          <w:sz w:val="21"/>
          <w:szCs w:val="21"/>
          <w:lang w:val="en-US"/>
        </w:rPr>
        <w:t xml:space="preserve">Terms and conditions for warrantS </w:t>
      </w:r>
      <w:r w:rsidR="00084831" w:rsidRPr="00B4441E">
        <w:rPr>
          <w:rFonts w:ascii="Constantia" w:hAnsi="Constantia"/>
          <w:i/>
          <w:sz w:val="21"/>
          <w:szCs w:val="21"/>
          <w:lang w:val="en-US"/>
        </w:rPr>
        <w:t>of series 202</w:t>
      </w:r>
      <w:r w:rsidR="00833E18">
        <w:rPr>
          <w:rFonts w:ascii="Constantia" w:hAnsi="Constantia"/>
          <w:i/>
          <w:sz w:val="21"/>
          <w:szCs w:val="21"/>
          <w:lang w:val="en-US"/>
        </w:rPr>
        <w:t>2</w:t>
      </w:r>
      <w:r w:rsidR="00084831" w:rsidRPr="00B4441E">
        <w:rPr>
          <w:rFonts w:ascii="Constantia" w:hAnsi="Constantia"/>
          <w:i/>
          <w:sz w:val="21"/>
          <w:szCs w:val="21"/>
          <w:lang w:val="en-US"/>
        </w:rPr>
        <w:t>-202</w:t>
      </w:r>
      <w:r w:rsidR="00833E18">
        <w:rPr>
          <w:rFonts w:ascii="Constantia" w:hAnsi="Constantia"/>
          <w:i/>
          <w:sz w:val="21"/>
          <w:szCs w:val="21"/>
          <w:lang w:val="en-US"/>
        </w:rPr>
        <w:t>6</w:t>
      </w:r>
      <w:r w:rsidR="00F047A6" w:rsidRPr="00B4441E">
        <w:rPr>
          <w:rFonts w:ascii="Constantia" w:hAnsi="Constantia"/>
          <w:i/>
          <w:sz w:val="21"/>
          <w:szCs w:val="21"/>
          <w:lang w:val="en-US"/>
        </w:rPr>
        <w:t>:1</w:t>
      </w:r>
      <w:r w:rsidR="00084831" w:rsidRPr="00B4441E">
        <w:rPr>
          <w:rFonts w:ascii="Constantia" w:hAnsi="Constantia"/>
          <w:i/>
          <w:sz w:val="21"/>
          <w:szCs w:val="21"/>
          <w:lang w:val="en-US"/>
        </w:rPr>
        <w:t xml:space="preserve"> </w:t>
      </w:r>
      <w:r w:rsidRPr="00B4441E">
        <w:rPr>
          <w:rFonts w:ascii="Constantia" w:hAnsi="Constantia"/>
          <w:i/>
          <w:sz w:val="21"/>
          <w:szCs w:val="21"/>
          <w:lang w:val="en-US"/>
        </w:rPr>
        <w:t xml:space="preserve">REGARDING subscription OF SHARES IN </w:t>
      </w:r>
      <w:r w:rsidR="00084831" w:rsidRPr="00B4441E">
        <w:rPr>
          <w:rFonts w:ascii="Constantia" w:hAnsi="Constantia"/>
          <w:i/>
          <w:sz w:val="21"/>
          <w:szCs w:val="21"/>
          <w:lang w:val="en-US"/>
        </w:rPr>
        <w:t>QUICKBIT EU AB (PUBL)</w:t>
      </w:r>
    </w:p>
    <w:p w14:paraId="6A6D5C26" w14:textId="77777777" w:rsidR="0042636C" w:rsidRPr="00BE7EA6" w:rsidRDefault="0042636C" w:rsidP="0042636C">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1 Definitioner / Definitions</w:t>
      </w:r>
    </w:p>
    <w:p w14:paraId="0075067C" w14:textId="77777777" w:rsidR="0042636C" w:rsidRPr="00BE7EA6" w:rsidRDefault="0042636C" w:rsidP="0042636C">
      <w:pPr>
        <w:rPr>
          <w:rFonts w:ascii="Constantia" w:hAnsi="Constantia"/>
          <w:sz w:val="21"/>
          <w:szCs w:val="21"/>
          <w:lang w:val="sv-SE"/>
        </w:rPr>
      </w:pPr>
      <w:r w:rsidRPr="00BE7EA6">
        <w:rPr>
          <w:rFonts w:ascii="Constantia" w:hAnsi="Constantia"/>
          <w:sz w:val="21"/>
          <w:szCs w:val="21"/>
          <w:lang w:val="sv-SE"/>
        </w:rPr>
        <w:t xml:space="preserve">I föreliggande villkor ska följande benämningar ha den innebörd som angivits nedan. </w:t>
      </w:r>
    </w:p>
    <w:p w14:paraId="24866D02" w14:textId="77777777" w:rsidR="0042636C" w:rsidRPr="00B4441E" w:rsidRDefault="0042636C" w:rsidP="0042636C">
      <w:pPr>
        <w:rPr>
          <w:rFonts w:ascii="Constantia" w:hAnsi="Constantia"/>
          <w:i/>
          <w:sz w:val="21"/>
          <w:szCs w:val="21"/>
          <w:lang w:val="en-US"/>
        </w:rPr>
      </w:pPr>
      <w:r w:rsidRPr="00B4441E">
        <w:rPr>
          <w:rFonts w:ascii="Constantia" w:hAnsi="Constantia"/>
          <w:i/>
          <w:sz w:val="21"/>
          <w:szCs w:val="21"/>
          <w:lang w:val="en-US"/>
        </w:rPr>
        <w:t>In these terms and conditions, the following terms shall have the meanings stated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42636C" w:rsidRPr="00BE7EA6" w14:paraId="70B5AE93" w14:textId="77777777" w:rsidTr="00F022E8">
        <w:tc>
          <w:tcPr>
            <w:tcW w:w="2405" w:type="dxa"/>
          </w:tcPr>
          <w:p w14:paraId="5410B4C7"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”Aktie”</w:t>
            </w:r>
          </w:p>
        </w:tc>
        <w:tc>
          <w:tcPr>
            <w:tcW w:w="6655" w:type="dxa"/>
          </w:tcPr>
          <w:p w14:paraId="1FF40D79"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aktie i Bolaget;</w:t>
            </w:r>
          </w:p>
        </w:tc>
      </w:tr>
      <w:tr w:rsidR="0042636C" w:rsidRPr="00BE7EA6" w14:paraId="016202A1" w14:textId="77777777" w:rsidTr="00F022E8">
        <w:tc>
          <w:tcPr>
            <w:tcW w:w="2405" w:type="dxa"/>
          </w:tcPr>
          <w:p w14:paraId="04F73285" w14:textId="77777777" w:rsidR="0042636C" w:rsidRPr="00B4441E" w:rsidRDefault="0042636C" w:rsidP="00F022E8">
            <w:pPr>
              <w:rPr>
                <w:rFonts w:ascii="Constantia" w:hAnsi="Constantia"/>
                <w:b/>
                <w:sz w:val="21"/>
                <w:szCs w:val="21"/>
                <w:lang w:val="en-US"/>
              </w:rPr>
            </w:pPr>
            <w:r w:rsidRPr="00B4441E">
              <w:rPr>
                <w:rFonts w:ascii="Constantia" w:hAnsi="Constantia"/>
                <w:b/>
                <w:i/>
                <w:sz w:val="21"/>
                <w:szCs w:val="21"/>
                <w:lang w:val="en-US"/>
              </w:rPr>
              <w:t>”Share”</w:t>
            </w:r>
          </w:p>
        </w:tc>
        <w:tc>
          <w:tcPr>
            <w:tcW w:w="6655" w:type="dxa"/>
          </w:tcPr>
          <w:p w14:paraId="1A59C833" w14:textId="77777777" w:rsidR="0042636C" w:rsidRPr="00B4441E" w:rsidRDefault="0042636C" w:rsidP="00F022E8">
            <w:pPr>
              <w:rPr>
                <w:rFonts w:ascii="Constantia" w:hAnsi="Constantia"/>
                <w:sz w:val="21"/>
                <w:szCs w:val="21"/>
                <w:lang w:val="en-US"/>
              </w:rPr>
            </w:pPr>
            <w:r w:rsidRPr="00B4441E">
              <w:rPr>
                <w:rFonts w:ascii="Constantia" w:hAnsi="Constantia"/>
                <w:i/>
                <w:sz w:val="21"/>
                <w:szCs w:val="21"/>
                <w:lang w:val="en-US"/>
              </w:rPr>
              <w:t>a share in the Company;</w:t>
            </w:r>
          </w:p>
        </w:tc>
      </w:tr>
      <w:tr w:rsidR="0042636C" w:rsidRPr="00D06563" w14:paraId="6D5A0637" w14:textId="77777777" w:rsidTr="00F022E8">
        <w:tc>
          <w:tcPr>
            <w:tcW w:w="2405" w:type="dxa"/>
          </w:tcPr>
          <w:p w14:paraId="280B9383"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”Avstämningsbolag”</w:t>
            </w:r>
          </w:p>
        </w:tc>
        <w:tc>
          <w:tcPr>
            <w:tcW w:w="6655" w:type="dxa"/>
          </w:tcPr>
          <w:p w14:paraId="5F26C4D5"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bolag som har infört avstämningsförbehåll i bolagsordningen och anslutit sina aktier till Euroclear;</w:t>
            </w:r>
          </w:p>
        </w:tc>
      </w:tr>
      <w:tr w:rsidR="0042636C" w:rsidRPr="00BE7EA6" w14:paraId="002C2991" w14:textId="77777777" w:rsidTr="00F022E8">
        <w:tc>
          <w:tcPr>
            <w:tcW w:w="2405" w:type="dxa"/>
          </w:tcPr>
          <w:p w14:paraId="31AD649E"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”Central Securities Depository Company”</w:t>
            </w:r>
          </w:p>
        </w:tc>
        <w:tc>
          <w:tcPr>
            <w:tcW w:w="6655" w:type="dxa"/>
          </w:tcPr>
          <w:p w14:paraId="63F9C5F5" w14:textId="66F4B841" w:rsidR="0042636C" w:rsidRPr="00B4441E" w:rsidRDefault="00B23F52" w:rsidP="00F022E8">
            <w:pPr>
              <w:rPr>
                <w:rFonts w:ascii="Constantia" w:hAnsi="Constantia"/>
                <w:i/>
                <w:sz w:val="21"/>
                <w:szCs w:val="21"/>
                <w:lang w:val="en-US"/>
              </w:rPr>
            </w:pPr>
            <w:r w:rsidRPr="00B4441E">
              <w:rPr>
                <w:rFonts w:ascii="Constantia" w:hAnsi="Constantia"/>
                <w:i/>
                <w:sz w:val="21"/>
                <w:szCs w:val="21"/>
                <w:lang w:val="en-US"/>
              </w:rPr>
              <w:t>a</w:t>
            </w:r>
            <w:r w:rsidR="0042636C" w:rsidRPr="00B4441E">
              <w:rPr>
                <w:rFonts w:ascii="Constantia" w:hAnsi="Constantia"/>
                <w:i/>
                <w:sz w:val="21"/>
                <w:szCs w:val="21"/>
                <w:lang w:val="en-US"/>
              </w:rPr>
              <w:t xml:space="preserve"> company that </w:t>
            </w:r>
            <w:r w:rsidR="00616AB6" w:rsidRPr="00B4441E">
              <w:rPr>
                <w:rFonts w:ascii="Constantia" w:hAnsi="Constantia"/>
                <w:i/>
                <w:sz w:val="21"/>
                <w:szCs w:val="21"/>
                <w:lang w:val="en-US"/>
              </w:rPr>
              <w:t>has</w:t>
            </w:r>
            <w:r w:rsidR="0042636C" w:rsidRPr="00B4441E">
              <w:rPr>
                <w:rFonts w:ascii="Constantia" w:hAnsi="Constantia"/>
                <w:i/>
                <w:sz w:val="21"/>
                <w:szCs w:val="21"/>
                <w:lang w:val="en-US"/>
              </w:rPr>
              <w:t xml:space="preserve"> a record day provision in its Articles of Association and that have connected its shares to Euroclear;</w:t>
            </w:r>
          </w:p>
        </w:tc>
      </w:tr>
      <w:tr w:rsidR="0042636C" w:rsidRPr="00D06563" w14:paraId="2A36F817" w14:textId="77777777" w:rsidTr="00F022E8">
        <w:tc>
          <w:tcPr>
            <w:tcW w:w="2405" w:type="dxa"/>
          </w:tcPr>
          <w:p w14:paraId="39433FD2"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”Avstämningskonto”</w:t>
            </w:r>
          </w:p>
        </w:tc>
        <w:tc>
          <w:tcPr>
            <w:tcW w:w="6655" w:type="dxa"/>
          </w:tcPr>
          <w:p w14:paraId="63F43235"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konto vid Euroclear för registrering av sådana finansiella instrument som anges i lagen (1998:1479) om värdepapperscentraler och kontoföring av finansiella instrument;</w:t>
            </w:r>
          </w:p>
        </w:tc>
      </w:tr>
      <w:tr w:rsidR="0042636C" w:rsidRPr="00BE7EA6" w14:paraId="3F6F4D2E" w14:textId="77777777" w:rsidTr="00F022E8">
        <w:tc>
          <w:tcPr>
            <w:tcW w:w="2405" w:type="dxa"/>
          </w:tcPr>
          <w:p w14:paraId="19D86638"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”VP Account”</w:t>
            </w:r>
          </w:p>
        </w:tc>
        <w:tc>
          <w:tcPr>
            <w:tcW w:w="6655" w:type="dxa"/>
          </w:tcPr>
          <w:p w14:paraId="1DD64059"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account at Euroclear for the registration of such financial instruments as specified in the Swedish Financial Instruments Accounts Act (Sw: lag (1998:1479) om värdepapperscentraler och kontoföring av finansiella instrument);</w:t>
            </w:r>
          </w:p>
        </w:tc>
      </w:tr>
      <w:tr w:rsidR="0042636C" w:rsidRPr="00D06563" w14:paraId="230A7DC5" w14:textId="77777777" w:rsidTr="00F022E8">
        <w:tc>
          <w:tcPr>
            <w:tcW w:w="2405" w:type="dxa"/>
          </w:tcPr>
          <w:p w14:paraId="2BF0B60E"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”Bankdag”</w:t>
            </w:r>
          </w:p>
        </w:tc>
        <w:tc>
          <w:tcPr>
            <w:tcW w:w="6655" w:type="dxa"/>
          </w:tcPr>
          <w:p w14:paraId="4C84F07B"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dag som i Sverige inte är söndag eller annan allmän helgdag eller som beträffande betalning av skuldebrev inte är likställd med allmän helgdag i Sverige;</w:t>
            </w:r>
          </w:p>
        </w:tc>
      </w:tr>
      <w:tr w:rsidR="0042636C" w:rsidRPr="00BE7EA6" w14:paraId="38DA3469" w14:textId="77777777" w:rsidTr="00F022E8">
        <w:tc>
          <w:tcPr>
            <w:tcW w:w="2405" w:type="dxa"/>
          </w:tcPr>
          <w:p w14:paraId="6487B54C"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w:t>
            </w:r>
            <w:r w:rsidR="00BF5340" w:rsidRPr="00B4441E">
              <w:rPr>
                <w:rFonts w:ascii="Constantia" w:hAnsi="Constantia"/>
                <w:b/>
                <w:i/>
                <w:sz w:val="21"/>
                <w:szCs w:val="21"/>
                <w:lang w:val="en-US"/>
              </w:rPr>
              <w:t>Banking Day</w:t>
            </w:r>
            <w:r w:rsidRPr="00B4441E">
              <w:rPr>
                <w:rFonts w:ascii="Constantia" w:hAnsi="Constantia"/>
                <w:b/>
                <w:i/>
                <w:sz w:val="21"/>
                <w:szCs w:val="21"/>
                <w:lang w:val="en-US"/>
              </w:rPr>
              <w:t>”</w:t>
            </w:r>
          </w:p>
        </w:tc>
        <w:tc>
          <w:tcPr>
            <w:tcW w:w="6655" w:type="dxa"/>
          </w:tcPr>
          <w:p w14:paraId="4543106E"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a day, which is not a Sunday or other public holiday in Sweden, or which, with the respect to payment of debt instruments, is not the equivalent of a public holiday in Sweden;</w:t>
            </w:r>
          </w:p>
        </w:tc>
      </w:tr>
      <w:tr w:rsidR="005E6C75" w:rsidRPr="00D06563" w14:paraId="27103825" w14:textId="77777777" w:rsidTr="00F022E8">
        <w:tc>
          <w:tcPr>
            <w:tcW w:w="2405" w:type="dxa"/>
          </w:tcPr>
          <w:p w14:paraId="261981EE" w14:textId="5F8EC198" w:rsidR="005E6C75" w:rsidRPr="00BE7EA6" w:rsidRDefault="005E6C75" w:rsidP="005E6C75">
            <w:pPr>
              <w:rPr>
                <w:rFonts w:ascii="Constantia" w:hAnsi="Constantia"/>
                <w:b/>
                <w:sz w:val="21"/>
                <w:szCs w:val="21"/>
                <w:lang w:val="sv-SE"/>
              </w:rPr>
            </w:pPr>
            <w:r w:rsidRPr="00BE7EA6">
              <w:rPr>
                <w:rFonts w:ascii="Constantia" w:hAnsi="Constantia"/>
                <w:b/>
                <w:sz w:val="21"/>
                <w:szCs w:val="21"/>
                <w:lang w:val="sv-SE"/>
              </w:rPr>
              <w:t>”Bolaget”</w:t>
            </w:r>
          </w:p>
        </w:tc>
        <w:tc>
          <w:tcPr>
            <w:tcW w:w="6655" w:type="dxa"/>
          </w:tcPr>
          <w:p w14:paraId="3B9A3C83" w14:textId="3083BD0E" w:rsidR="005E6C75" w:rsidRPr="00BE7EA6" w:rsidRDefault="005E6C75" w:rsidP="005E6C75">
            <w:pPr>
              <w:rPr>
                <w:rFonts w:ascii="Constantia" w:hAnsi="Constantia"/>
                <w:sz w:val="21"/>
                <w:szCs w:val="21"/>
                <w:lang w:val="sv-SE"/>
              </w:rPr>
            </w:pPr>
            <w:r>
              <w:rPr>
                <w:rFonts w:ascii="Constantia" w:hAnsi="Constantia"/>
                <w:sz w:val="21"/>
                <w:szCs w:val="21"/>
                <w:lang w:val="sv-SE"/>
              </w:rPr>
              <w:t>Q</w:t>
            </w:r>
            <w:r w:rsidRPr="00A05873">
              <w:rPr>
                <w:rFonts w:ascii="Constantia" w:hAnsi="Constantia"/>
                <w:sz w:val="21"/>
                <w:szCs w:val="21"/>
                <w:lang w:val="sv-SE"/>
              </w:rPr>
              <w:t xml:space="preserve">uickbit </w:t>
            </w:r>
            <w:r>
              <w:rPr>
                <w:rFonts w:ascii="Constantia" w:hAnsi="Constantia"/>
                <w:sz w:val="21"/>
                <w:szCs w:val="21"/>
                <w:lang w:val="sv-SE"/>
              </w:rPr>
              <w:t>eu</w:t>
            </w:r>
            <w:r w:rsidRPr="00A05873">
              <w:rPr>
                <w:rFonts w:ascii="Constantia" w:hAnsi="Constantia"/>
                <w:sz w:val="21"/>
                <w:szCs w:val="21"/>
                <w:lang w:val="sv-SE"/>
              </w:rPr>
              <w:t xml:space="preserve"> </w:t>
            </w:r>
            <w:r>
              <w:rPr>
                <w:rFonts w:ascii="Constantia" w:hAnsi="Constantia"/>
                <w:sz w:val="21"/>
                <w:szCs w:val="21"/>
                <w:lang w:val="sv-SE"/>
              </w:rPr>
              <w:t>AB</w:t>
            </w:r>
            <w:r w:rsidRPr="00A05873">
              <w:rPr>
                <w:rFonts w:ascii="Constantia" w:hAnsi="Constantia"/>
                <w:sz w:val="21"/>
                <w:szCs w:val="21"/>
                <w:lang w:val="sv-SE"/>
              </w:rPr>
              <w:t xml:space="preserve"> (publ)</w:t>
            </w:r>
            <w:r w:rsidRPr="00BE7EA6">
              <w:rPr>
                <w:rFonts w:ascii="Constantia" w:hAnsi="Constantia"/>
                <w:sz w:val="21"/>
                <w:szCs w:val="21"/>
                <w:lang w:val="sv-SE"/>
              </w:rPr>
              <w:t xml:space="preserve">, org.nr </w:t>
            </w:r>
            <w:r w:rsidRPr="00A05873">
              <w:rPr>
                <w:rFonts w:ascii="Constantia" w:hAnsi="Constantia"/>
                <w:sz w:val="21"/>
                <w:szCs w:val="21"/>
                <w:lang w:val="sv-SE"/>
              </w:rPr>
              <w:t>559066-2093</w:t>
            </w:r>
            <w:r w:rsidRPr="00BE7EA6">
              <w:rPr>
                <w:rFonts w:ascii="Constantia" w:hAnsi="Constantia"/>
                <w:sz w:val="21"/>
                <w:szCs w:val="21"/>
                <w:lang w:val="sv-SE"/>
              </w:rPr>
              <w:t>;</w:t>
            </w:r>
          </w:p>
        </w:tc>
      </w:tr>
      <w:tr w:rsidR="005E6C75" w:rsidRPr="00BE7EA6" w14:paraId="3826A763" w14:textId="77777777" w:rsidTr="00F022E8">
        <w:tc>
          <w:tcPr>
            <w:tcW w:w="2405" w:type="dxa"/>
          </w:tcPr>
          <w:p w14:paraId="3446B304" w14:textId="031B6BF1" w:rsidR="005E6C75" w:rsidRPr="00B4441E" w:rsidRDefault="005E6C75" w:rsidP="005E6C75">
            <w:pPr>
              <w:rPr>
                <w:rFonts w:ascii="Constantia" w:hAnsi="Constantia"/>
                <w:b/>
                <w:i/>
                <w:sz w:val="21"/>
                <w:szCs w:val="21"/>
                <w:lang w:val="en-US"/>
              </w:rPr>
            </w:pPr>
            <w:r w:rsidRPr="00B4441E">
              <w:rPr>
                <w:rFonts w:ascii="Constantia" w:hAnsi="Constantia"/>
                <w:b/>
                <w:i/>
                <w:sz w:val="21"/>
                <w:szCs w:val="21"/>
                <w:lang w:val="en-US"/>
              </w:rPr>
              <w:t>”Company”</w:t>
            </w:r>
          </w:p>
        </w:tc>
        <w:tc>
          <w:tcPr>
            <w:tcW w:w="6655" w:type="dxa"/>
          </w:tcPr>
          <w:p w14:paraId="174E768C" w14:textId="3F5E4252" w:rsidR="005E6C75" w:rsidRPr="00B4441E" w:rsidRDefault="005E6C75" w:rsidP="005E6C75">
            <w:pPr>
              <w:rPr>
                <w:rFonts w:ascii="Constantia" w:hAnsi="Constantia"/>
                <w:i/>
                <w:sz w:val="21"/>
                <w:szCs w:val="21"/>
                <w:lang w:val="en-US"/>
              </w:rPr>
            </w:pPr>
            <w:r w:rsidRPr="00B4441E">
              <w:rPr>
                <w:rFonts w:ascii="Constantia" w:hAnsi="Constantia"/>
                <w:i/>
                <w:sz w:val="21"/>
                <w:szCs w:val="21"/>
                <w:lang w:val="en-US"/>
              </w:rPr>
              <w:t>Quickbit eu AB (publ), reg. no 559066-2093;</w:t>
            </w:r>
          </w:p>
        </w:tc>
      </w:tr>
      <w:tr w:rsidR="0042636C" w:rsidRPr="00BE7EA6" w14:paraId="6610427A" w14:textId="77777777" w:rsidTr="00885F60">
        <w:trPr>
          <w:trHeight w:val="60"/>
        </w:trPr>
        <w:tc>
          <w:tcPr>
            <w:tcW w:w="2405" w:type="dxa"/>
          </w:tcPr>
          <w:p w14:paraId="3DF0423A"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”Euroclear”</w:t>
            </w:r>
          </w:p>
        </w:tc>
        <w:tc>
          <w:tcPr>
            <w:tcW w:w="6655" w:type="dxa"/>
          </w:tcPr>
          <w:p w14:paraId="45298CED"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Euroclear Sweden AB;</w:t>
            </w:r>
          </w:p>
        </w:tc>
      </w:tr>
      <w:tr w:rsidR="0042636C" w:rsidRPr="00BE7EA6" w14:paraId="7A8D9466" w14:textId="77777777" w:rsidTr="00F022E8">
        <w:tc>
          <w:tcPr>
            <w:tcW w:w="2405" w:type="dxa"/>
          </w:tcPr>
          <w:p w14:paraId="18D32F1E"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”Euroclear”</w:t>
            </w:r>
          </w:p>
        </w:tc>
        <w:tc>
          <w:tcPr>
            <w:tcW w:w="6655" w:type="dxa"/>
          </w:tcPr>
          <w:p w14:paraId="78C361D8"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Euroclear Sweden AB;</w:t>
            </w:r>
          </w:p>
        </w:tc>
      </w:tr>
      <w:tr w:rsidR="0042636C" w:rsidRPr="00D06563" w14:paraId="57F8F5F1" w14:textId="77777777" w:rsidTr="00F022E8">
        <w:tc>
          <w:tcPr>
            <w:tcW w:w="2405" w:type="dxa"/>
          </w:tcPr>
          <w:p w14:paraId="248313DA"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”Innehavare”</w:t>
            </w:r>
          </w:p>
        </w:tc>
        <w:tc>
          <w:tcPr>
            <w:tcW w:w="6655" w:type="dxa"/>
          </w:tcPr>
          <w:p w14:paraId="539D6357"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innehavare av Optionsrätt med rätt till Teckning av nya Aktier;</w:t>
            </w:r>
          </w:p>
        </w:tc>
      </w:tr>
      <w:tr w:rsidR="0042636C" w:rsidRPr="00BE7EA6" w14:paraId="170F8A3F" w14:textId="77777777" w:rsidTr="00F022E8">
        <w:tc>
          <w:tcPr>
            <w:tcW w:w="2405" w:type="dxa"/>
          </w:tcPr>
          <w:p w14:paraId="050009A1"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”Warrant Holder”</w:t>
            </w:r>
          </w:p>
        </w:tc>
        <w:tc>
          <w:tcPr>
            <w:tcW w:w="6655" w:type="dxa"/>
          </w:tcPr>
          <w:p w14:paraId="6D7E0841"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the holder of a Warrant with Subscription right for new Shares;</w:t>
            </w:r>
          </w:p>
        </w:tc>
      </w:tr>
      <w:tr w:rsidR="0042636C" w:rsidRPr="00D06563" w14:paraId="2ADCDFF5" w14:textId="77777777" w:rsidTr="00F022E8">
        <w:tc>
          <w:tcPr>
            <w:tcW w:w="2405" w:type="dxa"/>
          </w:tcPr>
          <w:p w14:paraId="4A374444"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”Marknadsplats”</w:t>
            </w:r>
          </w:p>
        </w:tc>
        <w:tc>
          <w:tcPr>
            <w:tcW w:w="6655" w:type="dxa"/>
          </w:tcPr>
          <w:p w14:paraId="4542B314" w14:textId="099D0180" w:rsidR="0042636C" w:rsidRPr="00BE7EA6" w:rsidRDefault="006335EF" w:rsidP="00F022E8">
            <w:pPr>
              <w:rPr>
                <w:rFonts w:ascii="Constantia" w:hAnsi="Constantia"/>
                <w:sz w:val="21"/>
                <w:szCs w:val="21"/>
                <w:lang w:val="sv-SE"/>
              </w:rPr>
            </w:pPr>
            <w:r w:rsidRPr="006335EF">
              <w:rPr>
                <w:rFonts w:ascii="Constantia" w:hAnsi="Constantia"/>
                <w:sz w:val="21"/>
                <w:szCs w:val="21"/>
                <w:lang w:val="sv-SE"/>
              </w:rPr>
              <w:t>NGM Nordic SME eller annan liknande oreglerad eller reglerad marknad;</w:t>
            </w:r>
          </w:p>
        </w:tc>
      </w:tr>
      <w:tr w:rsidR="0042636C" w:rsidRPr="00BE7EA6" w14:paraId="2F3B13CC" w14:textId="77777777" w:rsidTr="00F022E8">
        <w:tc>
          <w:tcPr>
            <w:tcW w:w="2405" w:type="dxa"/>
          </w:tcPr>
          <w:p w14:paraId="76887DBC"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lastRenderedPageBreak/>
              <w:t>”Market Place”</w:t>
            </w:r>
          </w:p>
        </w:tc>
        <w:tc>
          <w:tcPr>
            <w:tcW w:w="6655" w:type="dxa"/>
          </w:tcPr>
          <w:p w14:paraId="6D4C9D4A" w14:textId="31EFB67D" w:rsidR="0042636C" w:rsidRPr="00B4441E" w:rsidRDefault="006335EF" w:rsidP="00F022E8">
            <w:pPr>
              <w:rPr>
                <w:rFonts w:ascii="Constantia" w:hAnsi="Constantia"/>
                <w:i/>
                <w:sz w:val="21"/>
                <w:szCs w:val="21"/>
                <w:lang w:val="en-US"/>
              </w:rPr>
            </w:pPr>
            <w:r w:rsidRPr="00B4441E">
              <w:rPr>
                <w:rFonts w:ascii="Constantia" w:hAnsi="Constantia"/>
                <w:i/>
                <w:sz w:val="21"/>
                <w:szCs w:val="21"/>
                <w:lang w:val="en-US"/>
              </w:rPr>
              <w:t>NGM Nordic SME or other similar unregulated or regulated market;</w:t>
            </w:r>
          </w:p>
        </w:tc>
      </w:tr>
      <w:tr w:rsidR="0042636C" w:rsidRPr="00D06563" w14:paraId="3EEB14AB" w14:textId="77777777" w:rsidTr="00F022E8">
        <w:tc>
          <w:tcPr>
            <w:tcW w:w="2405" w:type="dxa"/>
          </w:tcPr>
          <w:p w14:paraId="087352F4"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”Optionsbevis”</w:t>
            </w:r>
          </w:p>
        </w:tc>
        <w:tc>
          <w:tcPr>
            <w:tcW w:w="6655" w:type="dxa"/>
          </w:tcPr>
          <w:p w14:paraId="4B4205F3"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bevis till vilket knutits ett visst antal Optionsrätter;</w:t>
            </w:r>
          </w:p>
        </w:tc>
      </w:tr>
      <w:tr w:rsidR="0042636C" w:rsidRPr="00BE7EA6" w14:paraId="753433F7" w14:textId="77777777" w:rsidTr="00F022E8">
        <w:tc>
          <w:tcPr>
            <w:tcW w:w="2405" w:type="dxa"/>
          </w:tcPr>
          <w:p w14:paraId="5B84B258"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”Warrant Certificate”</w:t>
            </w:r>
          </w:p>
        </w:tc>
        <w:tc>
          <w:tcPr>
            <w:tcW w:w="6655" w:type="dxa"/>
          </w:tcPr>
          <w:p w14:paraId="0CBACC17"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a certificate which is linked to a certain number of Warrants;</w:t>
            </w:r>
          </w:p>
        </w:tc>
      </w:tr>
      <w:tr w:rsidR="0042636C" w:rsidRPr="00D06563" w14:paraId="500CD732" w14:textId="77777777" w:rsidTr="00F022E8">
        <w:tc>
          <w:tcPr>
            <w:tcW w:w="2405" w:type="dxa"/>
          </w:tcPr>
          <w:p w14:paraId="6EBA91F9"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”Optionsrätt”</w:t>
            </w:r>
          </w:p>
        </w:tc>
        <w:tc>
          <w:tcPr>
            <w:tcW w:w="6655" w:type="dxa"/>
          </w:tcPr>
          <w:p w14:paraId="067EF86B"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rätt att teckna Aktie mot kontant betalning;</w:t>
            </w:r>
          </w:p>
        </w:tc>
      </w:tr>
      <w:tr w:rsidR="0042636C" w:rsidRPr="00BE7EA6" w14:paraId="1B01D10C" w14:textId="77777777" w:rsidTr="00F022E8">
        <w:tc>
          <w:tcPr>
            <w:tcW w:w="2405" w:type="dxa"/>
          </w:tcPr>
          <w:p w14:paraId="17A86718" w14:textId="77777777" w:rsidR="0042636C" w:rsidRPr="00B4441E" w:rsidRDefault="0042636C" w:rsidP="00F022E8">
            <w:pPr>
              <w:rPr>
                <w:rFonts w:ascii="Constantia" w:hAnsi="Constantia"/>
                <w:b/>
                <w:i/>
                <w:sz w:val="21"/>
                <w:szCs w:val="21"/>
                <w:highlight w:val="cyan"/>
                <w:lang w:val="en-US"/>
              </w:rPr>
            </w:pPr>
            <w:r w:rsidRPr="00B4441E">
              <w:rPr>
                <w:rFonts w:ascii="Constantia" w:hAnsi="Constantia"/>
                <w:b/>
                <w:i/>
                <w:sz w:val="21"/>
                <w:szCs w:val="21"/>
                <w:lang w:val="en-US"/>
              </w:rPr>
              <w:t>”Warrant”</w:t>
            </w:r>
          </w:p>
        </w:tc>
        <w:tc>
          <w:tcPr>
            <w:tcW w:w="6655" w:type="dxa"/>
          </w:tcPr>
          <w:p w14:paraId="3287B399"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the right to subscribe for Share against cash payment;</w:t>
            </w:r>
          </w:p>
        </w:tc>
      </w:tr>
      <w:tr w:rsidR="0042636C" w:rsidRPr="00D06563" w14:paraId="6CED9ACE" w14:textId="77777777" w:rsidTr="00F022E8">
        <w:tc>
          <w:tcPr>
            <w:tcW w:w="2405" w:type="dxa"/>
          </w:tcPr>
          <w:p w14:paraId="2FBD7262" w14:textId="77777777" w:rsidR="0042636C" w:rsidRPr="00BE7EA6" w:rsidRDefault="0042636C" w:rsidP="00F022E8">
            <w:pPr>
              <w:rPr>
                <w:rFonts w:ascii="Constantia" w:hAnsi="Constantia"/>
                <w:b/>
                <w:sz w:val="21"/>
                <w:szCs w:val="21"/>
                <w:lang w:val="sv-SE"/>
              </w:rPr>
            </w:pPr>
            <w:r w:rsidRPr="00BE7EA6">
              <w:rPr>
                <w:rFonts w:ascii="Constantia" w:hAnsi="Constantia"/>
                <w:b/>
                <w:sz w:val="21"/>
                <w:szCs w:val="21"/>
                <w:lang w:val="sv-SE"/>
              </w:rPr>
              <w:t>”Teckning”</w:t>
            </w:r>
          </w:p>
        </w:tc>
        <w:tc>
          <w:tcPr>
            <w:tcW w:w="6655" w:type="dxa"/>
          </w:tcPr>
          <w:p w14:paraId="11D9D5D9" w14:textId="77777777" w:rsidR="0042636C" w:rsidRPr="00BE7EA6" w:rsidRDefault="0042636C" w:rsidP="00F022E8">
            <w:pPr>
              <w:rPr>
                <w:rFonts w:ascii="Constantia" w:hAnsi="Constantia"/>
                <w:sz w:val="21"/>
                <w:szCs w:val="21"/>
                <w:lang w:val="sv-SE"/>
              </w:rPr>
            </w:pPr>
            <w:r w:rsidRPr="00BE7EA6">
              <w:rPr>
                <w:rFonts w:ascii="Constantia" w:hAnsi="Constantia"/>
                <w:sz w:val="21"/>
                <w:szCs w:val="21"/>
                <w:lang w:val="sv-SE"/>
              </w:rPr>
              <w:t>teckning av Aktier som sker med stöd av Optionsrätt; och</w:t>
            </w:r>
          </w:p>
        </w:tc>
      </w:tr>
      <w:tr w:rsidR="0042636C" w:rsidRPr="00BE7EA6" w14:paraId="68AFF603" w14:textId="77777777" w:rsidTr="00F022E8">
        <w:tc>
          <w:tcPr>
            <w:tcW w:w="2405" w:type="dxa"/>
          </w:tcPr>
          <w:p w14:paraId="7258BAC8" w14:textId="77777777" w:rsidR="0042636C" w:rsidRPr="00B4441E" w:rsidRDefault="0042636C" w:rsidP="00F022E8">
            <w:pPr>
              <w:rPr>
                <w:rFonts w:ascii="Constantia" w:hAnsi="Constantia"/>
                <w:b/>
                <w:i/>
                <w:sz w:val="21"/>
                <w:szCs w:val="21"/>
                <w:lang w:val="en-US"/>
              </w:rPr>
            </w:pPr>
            <w:r w:rsidRPr="00B4441E">
              <w:rPr>
                <w:rFonts w:ascii="Constantia" w:hAnsi="Constantia"/>
                <w:b/>
                <w:i/>
                <w:sz w:val="21"/>
                <w:szCs w:val="21"/>
                <w:lang w:val="en-US"/>
              </w:rPr>
              <w:t>”Subscription”</w:t>
            </w:r>
          </w:p>
        </w:tc>
        <w:tc>
          <w:tcPr>
            <w:tcW w:w="6655" w:type="dxa"/>
          </w:tcPr>
          <w:p w14:paraId="510284DD" w14:textId="77777777" w:rsidR="0042636C" w:rsidRPr="00B4441E" w:rsidRDefault="0042636C" w:rsidP="00F022E8">
            <w:pPr>
              <w:rPr>
                <w:rFonts w:ascii="Constantia" w:hAnsi="Constantia"/>
                <w:i/>
                <w:sz w:val="21"/>
                <w:szCs w:val="21"/>
                <w:lang w:val="en-US"/>
              </w:rPr>
            </w:pPr>
            <w:r w:rsidRPr="00B4441E">
              <w:rPr>
                <w:rFonts w:ascii="Constantia" w:hAnsi="Constantia"/>
                <w:i/>
                <w:sz w:val="21"/>
                <w:szCs w:val="21"/>
                <w:lang w:val="en-US"/>
              </w:rPr>
              <w:t>subscription for new Shares exercised through a Warrant; and</w:t>
            </w:r>
          </w:p>
        </w:tc>
      </w:tr>
      <w:tr w:rsidR="00E34E99" w:rsidRPr="00D06563" w14:paraId="23CF32FE" w14:textId="77777777" w:rsidTr="00F022E8">
        <w:tc>
          <w:tcPr>
            <w:tcW w:w="2405" w:type="dxa"/>
          </w:tcPr>
          <w:p w14:paraId="417DC83A" w14:textId="0638F2D3" w:rsidR="00E34E99" w:rsidRPr="00BE7EA6" w:rsidRDefault="00E34E99" w:rsidP="00E34E99">
            <w:pPr>
              <w:rPr>
                <w:rFonts w:ascii="Constantia" w:hAnsi="Constantia"/>
                <w:b/>
                <w:sz w:val="21"/>
                <w:szCs w:val="21"/>
                <w:lang w:val="sv-SE"/>
              </w:rPr>
            </w:pPr>
            <w:r w:rsidRPr="00BE7EA6">
              <w:rPr>
                <w:rFonts w:ascii="Constantia" w:hAnsi="Constantia"/>
                <w:b/>
                <w:sz w:val="21"/>
                <w:szCs w:val="21"/>
                <w:lang w:val="sv-SE"/>
              </w:rPr>
              <w:t>”Teckningskurs”</w:t>
            </w:r>
          </w:p>
        </w:tc>
        <w:tc>
          <w:tcPr>
            <w:tcW w:w="6655" w:type="dxa"/>
          </w:tcPr>
          <w:p w14:paraId="11772B92" w14:textId="5B13A4F2" w:rsidR="00E34E99" w:rsidRPr="00BE7EA6" w:rsidRDefault="00B24656" w:rsidP="00E34E99">
            <w:pPr>
              <w:rPr>
                <w:rFonts w:ascii="Constantia" w:hAnsi="Constantia"/>
                <w:sz w:val="21"/>
                <w:szCs w:val="21"/>
                <w:lang w:val="sv-SE"/>
              </w:rPr>
            </w:pPr>
            <w:r w:rsidRPr="00B24656">
              <w:rPr>
                <w:rFonts w:ascii="Constantia" w:hAnsi="Constantia"/>
                <w:sz w:val="21"/>
                <w:szCs w:val="21"/>
                <w:lang w:val="sv-SE"/>
              </w:rPr>
              <w:t xml:space="preserve">150 procent av den volymvägda genomsnittskursen enligt NGM Nordic SME:s officiella kurslista för </w:t>
            </w:r>
            <w:r w:rsidR="00D06C9B">
              <w:rPr>
                <w:rFonts w:ascii="Constantia" w:hAnsi="Constantia"/>
                <w:sz w:val="21"/>
                <w:szCs w:val="21"/>
                <w:lang w:val="sv-SE"/>
              </w:rPr>
              <w:t>A</w:t>
            </w:r>
            <w:r w:rsidRPr="00B24656">
              <w:rPr>
                <w:rFonts w:ascii="Constantia" w:hAnsi="Constantia"/>
                <w:sz w:val="21"/>
                <w:szCs w:val="21"/>
                <w:lang w:val="sv-SE"/>
              </w:rPr>
              <w:t xml:space="preserve">ktien under de tio handelsdagar som infaller omedelbart före erbjudande om </w:t>
            </w:r>
            <w:r w:rsidR="005A2C0B">
              <w:rPr>
                <w:rFonts w:ascii="Constantia" w:hAnsi="Constantia"/>
                <w:sz w:val="21"/>
                <w:szCs w:val="21"/>
                <w:lang w:val="sv-SE"/>
              </w:rPr>
              <w:t>förvärv</w:t>
            </w:r>
            <w:r w:rsidRPr="00B24656">
              <w:rPr>
                <w:rFonts w:ascii="Constantia" w:hAnsi="Constantia"/>
                <w:sz w:val="21"/>
                <w:szCs w:val="21"/>
                <w:lang w:val="sv-SE"/>
              </w:rPr>
              <w:t xml:space="preserve"> av </w:t>
            </w:r>
            <w:r w:rsidR="00616B7F">
              <w:rPr>
                <w:rFonts w:ascii="Constantia" w:hAnsi="Constantia"/>
                <w:sz w:val="21"/>
                <w:szCs w:val="21"/>
                <w:lang w:val="sv-SE"/>
              </w:rPr>
              <w:t>O</w:t>
            </w:r>
            <w:r w:rsidR="00D06C9B">
              <w:rPr>
                <w:rFonts w:ascii="Constantia" w:hAnsi="Constantia"/>
                <w:sz w:val="21"/>
                <w:szCs w:val="21"/>
                <w:lang w:val="sv-SE"/>
              </w:rPr>
              <w:t>ptionsrätterna</w:t>
            </w:r>
            <w:r w:rsidRPr="00B24656">
              <w:rPr>
                <w:rFonts w:ascii="Constantia" w:hAnsi="Constantia"/>
                <w:sz w:val="21"/>
                <w:szCs w:val="21"/>
                <w:lang w:val="sv-SE"/>
              </w:rPr>
              <w:t xml:space="preserve">, dock som minimum </w:t>
            </w:r>
            <w:r w:rsidR="00D06C9B">
              <w:rPr>
                <w:rFonts w:ascii="Constantia" w:hAnsi="Constantia"/>
                <w:sz w:val="21"/>
                <w:szCs w:val="21"/>
                <w:lang w:val="sv-SE"/>
              </w:rPr>
              <w:t>A</w:t>
            </w:r>
            <w:r w:rsidRPr="00B24656">
              <w:rPr>
                <w:rFonts w:ascii="Constantia" w:hAnsi="Constantia"/>
                <w:sz w:val="21"/>
                <w:szCs w:val="21"/>
                <w:lang w:val="sv-SE"/>
              </w:rPr>
              <w:t>ktiens kvotvärde.</w:t>
            </w:r>
          </w:p>
        </w:tc>
      </w:tr>
      <w:tr w:rsidR="00E34E99" w:rsidRPr="00842C0F" w14:paraId="782E2BC1" w14:textId="77777777" w:rsidTr="00F022E8">
        <w:tc>
          <w:tcPr>
            <w:tcW w:w="2405" w:type="dxa"/>
          </w:tcPr>
          <w:p w14:paraId="5EE40187" w14:textId="00070951" w:rsidR="00E34E99" w:rsidRPr="00B4441E" w:rsidRDefault="00E34E99" w:rsidP="00E34E99">
            <w:pPr>
              <w:rPr>
                <w:rFonts w:ascii="Constantia" w:hAnsi="Constantia"/>
                <w:b/>
                <w:i/>
                <w:sz w:val="21"/>
                <w:szCs w:val="21"/>
                <w:lang w:val="en-US"/>
              </w:rPr>
            </w:pPr>
            <w:r w:rsidRPr="00B4441E">
              <w:rPr>
                <w:rFonts w:ascii="Constantia" w:hAnsi="Constantia"/>
                <w:b/>
                <w:i/>
                <w:sz w:val="21"/>
                <w:szCs w:val="21"/>
                <w:lang w:val="en-US"/>
              </w:rPr>
              <w:t>”Subscription Price”</w:t>
            </w:r>
          </w:p>
        </w:tc>
        <w:tc>
          <w:tcPr>
            <w:tcW w:w="6655" w:type="dxa"/>
          </w:tcPr>
          <w:p w14:paraId="6C1B8E47" w14:textId="2B2D5FCF" w:rsidR="00E34E99" w:rsidRPr="00B4441E" w:rsidRDefault="00B24656" w:rsidP="00E34E99">
            <w:pPr>
              <w:rPr>
                <w:rFonts w:ascii="Constantia" w:hAnsi="Constantia"/>
                <w:i/>
                <w:sz w:val="21"/>
                <w:szCs w:val="21"/>
                <w:lang w:val="en-US"/>
              </w:rPr>
            </w:pPr>
            <w:r w:rsidRPr="00B4441E">
              <w:rPr>
                <w:rFonts w:ascii="Constantia" w:hAnsi="Constantia"/>
                <w:i/>
                <w:sz w:val="21"/>
                <w:szCs w:val="21"/>
                <w:lang w:val="en-US"/>
              </w:rPr>
              <w:t xml:space="preserve">150 percent of the volume weighted average price of the </w:t>
            </w:r>
            <w:r w:rsidR="00F93C3B" w:rsidRPr="00B4441E">
              <w:rPr>
                <w:rFonts w:ascii="Constantia" w:hAnsi="Constantia"/>
                <w:i/>
                <w:sz w:val="21"/>
                <w:szCs w:val="21"/>
                <w:lang w:val="en-US"/>
              </w:rPr>
              <w:t>S</w:t>
            </w:r>
            <w:r w:rsidRPr="00B4441E">
              <w:rPr>
                <w:rFonts w:ascii="Constantia" w:hAnsi="Constantia"/>
                <w:i/>
                <w:sz w:val="21"/>
                <w:szCs w:val="21"/>
                <w:lang w:val="en-US"/>
              </w:rPr>
              <w:t>hare according</w:t>
            </w:r>
            <w:r w:rsidR="00616AB6">
              <w:rPr>
                <w:rFonts w:ascii="Constantia" w:hAnsi="Constantia"/>
                <w:i/>
                <w:sz w:val="21"/>
                <w:szCs w:val="21"/>
                <w:lang w:val="en-US"/>
              </w:rPr>
              <w:t xml:space="preserve"> to</w:t>
            </w:r>
            <w:r w:rsidRPr="00B4441E">
              <w:rPr>
                <w:rFonts w:ascii="Constantia" w:hAnsi="Constantia"/>
                <w:i/>
                <w:sz w:val="21"/>
                <w:szCs w:val="21"/>
                <w:lang w:val="en-US"/>
              </w:rPr>
              <w:t xml:space="preserve"> the official share list of NGM Nordic SME during the ten trading days immediately preceding the offer to </w:t>
            </w:r>
            <w:r w:rsidR="005A2C0B">
              <w:rPr>
                <w:rFonts w:ascii="Constantia" w:hAnsi="Constantia"/>
                <w:i/>
                <w:sz w:val="21"/>
                <w:szCs w:val="21"/>
                <w:lang w:val="en-US"/>
              </w:rPr>
              <w:t>acquire</w:t>
            </w:r>
            <w:r w:rsidRPr="00B4441E">
              <w:rPr>
                <w:rFonts w:ascii="Constantia" w:hAnsi="Constantia"/>
                <w:i/>
                <w:sz w:val="21"/>
                <w:szCs w:val="21"/>
                <w:lang w:val="en-US"/>
              </w:rPr>
              <w:t xml:space="preserve"> </w:t>
            </w:r>
            <w:r w:rsidR="00F93C3B" w:rsidRPr="00B4441E">
              <w:rPr>
                <w:rFonts w:ascii="Constantia" w:hAnsi="Constantia"/>
                <w:i/>
                <w:sz w:val="21"/>
                <w:szCs w:val="21"/>
                <w:lang w:val="en-US"/>
              </w:rPr>
              <w:t>W</w:t>
            </w:r>
            <w:r w:rsidRPr="00B4441E">
              <w:rPr>
                <w:rFonts w:ascii="Constantia" w:hAnsi="Constantia"/>
                <w:i/>
                <w:sz w:val="21"/>
                <w:szCs w:val="21"/>
                <w:lang w:val="en-US"/>
              </w:rPr>
              <w:t xml:space="preserve">arrants, however not less than the quota value of the </w:t>
            </w:r>
            <w:r w:rsidR="00F93C3B" w:rsidRPr="00B4441E">
              <w:rPr>
                <w:rFonts w:ascii="Constantia" w:hAnsi="Constantia"/>
                <w:i/>
                <w:sz w:val="21"/>
                <w:szCs w:val="21"/>
                <w:lang w:val="en-US"/>
              </w:rPr>
              <w:t>S</w:t>
            </w:r>
            <w:r w:rsidRPr="00B4441E">
              <w:rPr>
                <w:rFonts w:ascii="Constantia" w:hAnsi="Constantia"/>
                <w:i/>
                <w:sz w:val="21"/>
                <w:szCs w:val="21"/>
                <w:lang w:val="en-US"/>
              </w:rPr>
              <w:t>hares.</w:t>
            </w:r>
          </w:p>
        </w:tc>
      </w:tr>
    </w:tbl>
    <w:p w14:paraId="1E5195F5"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2 Optionsrätter / </w:t>
      </w:r>
      <w:r w:rsidRPr="006B0F63">
        <w:rPr>
          <w:rFonts w:ascii="Constantia" w:hAnsi="Constantia"/>
          <w:i/>
          <w:sz w:val="21"/>
          <w:szCs w:val="21"/>
          <w:lang w:val="sv-SE"/>
        </w:rPr>
        <w:t>Warrants</w:t>
      </w:r>
    </w:p>
    <w:p w14:paraId="3AF2A1CF" w14:textId="2A17E4A6" w:rsidR="0008023B" w:rsidRPr="008A3837" w:rsidRDefault="0008023B" w:rsidP="0008023B">
      <w:pPr>
        <w:rPr>
          <w:rFonts w:ascii="Constantia" w:hAnsi="Constantia"/>
          <w:sz w:val="21"/>
          <w:szCs w:val="21"/>
          <w:lang w:val="sv-SE"/>
        </w:rPr>
      </w:pPr>
      <w:r w:rsidRPr="00BE7EA6">
        <w:rPr>
          <w:rFonts w:ascii="Constantia" w:hAnsi="Constantia"/>
          <w:sz w:val="21"/>
          <w:szCs w:val="21"/>
          <w:lang w:val="sv-SE"/>
        </w:rPr>
        <w:t xml:space="preserve">Det sammanlagda antalet Optionsrätter uppgår till </w:t>
      </w:r>
      <w:r w:rsidRPr="008A3837">
        <w:rPr>
          <w:rFonts w:ascii="Constantia" w:hAnsi="Constantia"/>
          <w:sz w:val="21"/>
          <w:szCs w:val="21"/>
          <w:lang w:val="sv-SE"/>
        </w:rPr>
        <w:t xml:space="preserve">högst </w:t>
      </w:r>
      <w:r w:rsidR="001F7E34" w:rsidRPr="008A3837">
        <w:rPr>
          <w:rFonts w:ascii="Constantia" w:hAnsi="Constantia"/>
          <w:sz w:val="21"/>
          <w:szCs w:val="21"/>
          <w:lang w:val="sv-SE"/>
        </w:rPr>
        <w:t>400 000</w:t>
      </w:r>
      <w:r w:rsidRPr="008A3837">
        <w:rPr>
          <w:rFonts w:ascii="Constantia" w:hAnsi="Constantia"/>
          <w:sz w:val="21"/>
          <w:szCs w:val="21"/>
          <w:lang w:val="sv-SE"/>
        </w:rPr>
        <w:t xml:space="preserve">. Optionsrätterna representeras av Optionsbevis. Optionsbevisen är ställda till viss man eller order. </w:t>
      </w:r>
    </w:p>
    <w:p w14:paraId="093658D2" w14:textId="5B5C8B6D" w:rsidR="0008023B" w:rsidRPr="00B4441E" w:rsidRDefault="0008023B" w:rsidP="0008023B">
      <w:pPr>
        <w:rPr>
          <w:rFonts w:ascii="Constantia" w:hAnsi="Constantia"/>
          <w:i/>
          <w:sz w:val="21"/>
          <w:szCs w:val="21"/>
          <w:lang w:val="en-US"/>
        </w:rPr>
      </w:pPr>
      <w:r w:rsidRPr="008A3837">
        <w:rPr>
          <w:rFonts w:ascii="Constantia" w:hAnsi="Constantia"/>
          <w:i/>
          <w:sz w:val="21"/>
          <w:szCs w:val="21"/>
          <w:lang w:val="en-US"/>
        </w:rPr>
        <w:t xml:space="preserve">The number of Warrants amounts to a total maximum of </w:t>
      </w:r>
      <w:r w:rsidR="001F7E34" w:rsidRPr="008A3837">
        <w:rPr>
          <w:rFonts w:ascii="Constantia" w:hAnsi="Constantia"/>
          <w:sz w:val="21"/>
          <w:szCs w:val="21"/>
        </w:rPr>
        <w:t>400,000</w:t>
      </w:r>
      <w:r w:rsidRPr="008A3837">
        <w:rPr>
          <w:rFonts w:ascii="Constantia" w:hAnsi="Constantia"/>
          <w:i/>
          <w:sz w:val="21"/>
          <w:szCs w:val="21"/>
          <w:lang w:val="en-US"/>
        </w:rPr>
        <w:t>. The Warrants are represented by the Warrant Certificates. The Warrant Certificates are issued to a certain</w:t>
      </w:r>
      <w:r w:rsidRPr="00B4441E">
        <w:rPr>
          <w:rFonts w:ascii="Constantia" w:hAnsi="Constantia"/>
          <w:i/>
          <w:sz w:val="21"/>
          <w:szCs w:val="21"/>
          <w:lang w:val="en-US"/>
        </w:rPr>
        <w:t xml:space="preserve"> person or to order.</w:t>
      </w:r>
    </w:p>
    <w:p w14:paraId="04FA22DF"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eller Euroclear inlämna samtliga Optionsbevis representerande Optionsrätter samt meddela Bolaget erforderliga uppgifter om värdepapperskonto på vilket Innehavarens Optionsrätter ska registreras.</w:t>
      </w:r>
    </w:p>
    <w:p w14:paraId="0B18696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Warrant Holders shall be obliged to surrender immediately to the Company or Euroclear all Warrant Certificates representing Warrants and to provide the Company with the requisite details of the securities account on which the Warrant Holder’s Warrants are to be registered.</w:t>
      </w:r>
    </w:p>
    <w:p w14:paraId="42915F14"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5DF94BF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lastRenderedPageBreak/>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VP Account.</w:t>
      </w:r>
    </w:p>
    <w:p w14:paraId="3FE54549"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3 Rätt att teckna nya Aktier / </w:t>
      </w:r>
      <w:r w:rsidRPr="006B0F63">
        <w:rPr>
          <w:rFonts w:ascii="Constantia" w:hAnsi="Constantia"/>
          <w:i/>
          <w:sz w:val="21"/>
          <w:szCs w:val="21"/>
          <w:lang w:val="sv-SE"/>
        </w:rPr>
        <w:t>Right to subscribe for new Shares</w:t>
      </w:r>
    </w:p>
    <w:p w14:paraId="641A0184" w14:textId="7C471F7B" w:rsidR="00E34E99" w:rsidRPr="00BE7EA6" w:rsidRDefault="00E34E99" w:rsidP="00E34E99">
      <w:pPr>
        <w:keepNext/>
        <w:rPr>
          <w:rFonts w:ascii="Constantia" w:hAnsi="Constantia"/>
          <w:sz w:val="21"/>
          <w:szCs w:val="21"/>
          <w:lang w:val="sv-SE"/>
        </w:rPr>
      </w:pPr>
      <w:bookmarkStart w:id="1" w:name="_Hlk12918838"/>
      <w:r w:rsidRPr="00BE7EA6">
        <w:rPr>
          <w:rFonts w:ascii="Constantia" w:hAnsi="Constantia"/>
          <w:sz w:val="21"/>
          <w:szCs w:val="21"/>
          <w:lang w:val="sv-SE"/>
        </w:rPr>
        <w:t xml:space="preserve">Innehavaren ska ha rätt </w:t>
      </w:r>
      <w:r w:rsidRPr="00BF3B5B">
        <w:rPr>
          <w:rFonts w:ascii="Constantia" w:hAnsi="Constantia"/>
          <w:sz w:val="21"/>
          <w:szCs w:val="21"/>
          <w:lang w:val="sv-SE"/>
        </w:rPr>
        <w:t xml:space="preserve">att under perioden från och med den </w:t>
      </w:r>
      <w:r w:rsidR="003737B6" w:rsidRPr="00BF3B5B">
        <w:rPr>
          <w:rFonts w:ascii="Constantia" w:hAnsi="Constantia"/>
          <w:sz w:val="21"/>
          <w:szCs w:val="21"/>
          <w:lang w:val="sv-SE"/>
        </w:rPr>
        <w:t>1 mars 202</w:t>
      </w:r>
      <w:r w:rsidR="00833E18">
        <w:rPr>
          <w:rFonts w:ascii="Constantia" w:hAnsi="Constantia"/>
          <w:sz w:val="21"/>
          <w:szCs w:val="21"/>
          <w:lang w:val="sv-SE"/>
        </w:rPr>
        <w:t>6</w:t>
      </w:r>
      <w:r w:rsidRPr="00BF3B5B">
        <w:rPr>
          <w:rFonts w:ascii="Constantia" w:hAnsi="Constantia"/>
          <w:sz w:val="21"/>
          <w:szCs w:val="21"/>
          <w:lang w:val="sv-SE"/>
        </w:rPr>
        <w:t xml:space="preserve"> till och med den </w:t>
      </w:r>
      <w:r w:rsidR="003737B6" w:rsidRPr="00BF3B5B">
        <w:rPr>
          <w:rFonts w:ascii="Constantia" w:hAnsi="Constantia"/>
          <w:sz w:val="21"/>
          <w:szCs w:val="21"/>
          <w:lang w:val="sv-SE"/>
        </w:rPr>
        <w:t>15 mars 202</w:t>
      </w:r>
      <w:r w:rsidR="00833E18">
        <w:rPr>
          <w:rFonts w:ascii="Constantia" w:hAnsi="Constantia"/>
          <w:sz w:val="21"/>
          <w:szCs w:val="21"/>
          <w:lang w:val="sv-SE"/>
        </w:rPr>
        <w:t>6</w:t>
      </w:r>
      <w:r w:rsidRPr="00BF3B5B">
        <w:rPr>
          <w:rFonts w:ascii="Constantia" w:hAnsi="Constantia"/>
          <w:sz w:val="21"/>
          <w:szCs w:val="21"/>
          <w:lang w:val="sv-SE"/>
        </w:rPr>
        <w:t xml:space="preserve">, eller till och med den tidigare eller senare dag som kan följa av § 8 nedan, för varje Optionsrätt teckna en ny Aktie. Teckningskursen per Aktie </w:t>
      </w:r>
      <w:r w:rsidR="00110511" w:rsidRPr="00BF3B5B">
        <w:rPr>
          <w:rFonts w:ascii="Constantia" w:hAnsi="Constantia"/>
          <w:sz w:val="21"/>
          <w:szCs w:val="21"/>
          <w:lang w:val="sv-SE"/>
        </w:rPr>
        <w:t>motsvara 150</w:t>
      </w:r>
      <w:r w:rsidR="00110511" w:rsidRPr="00110511">
        <w:rPr>
          <w:rFonts w:ascii="Constantia" w:hAnsi="Constantia"/>
          <w:sz w:val="21"/>
          <w:szCs w:val="21"/>
          <w:lang w:val="sv-SE"/>
        </w:rPr>
        <w:t xml:space="preserve"> procent av den volymvägda genomsnittskursen enligt NGM Nordic SME:s officiella kurslista för </w:t>
      </w:r>
      <w:r w:rsidR="00110511">
        <w:rPr>
          <w:rFonts w:ascii="Constantia" w:hAnsi="Constantia"/>
          <w:sz w:val="21"/>
          <w:szCs w:val="21"/>
          <w:lang w:val="sv-SE"/>
        </w:rPr>
        <w:t>A</w:t>
      </w:r>
      <w:r w:rsidR="00110511" w:rsidRPr="00110511">
        <w:rPr>
          <w:rFonts w:ascii="Constantia" w:hAnsi="Constantia"/>
          <w:sz w:val="21"/>
          <w:szCs w:val="21"/>
          <w:lang w:val="sv-SE"/>
        </w:rPr>
        <w:t xml:space="preserve">ktien under de tio handelsdagar som infaller omedelbart före erbjudande om </w:t>
      </w:r>
      <w:r w:rsidR="005A2C0B">
        <w:rPr>
          <w:rFonts w:ascii="Constantia" w:hAnsi="Constantia"/>
          <w:sz w:val="21"/>
          <w:szCs w:val="21"/>
          <w:lang w:val="sv-SE"/>
        </w:rPr>
        <w:t>förvärv</w:t>
      </w:r>
      <w:r w:rsidR="00110511" w:rsidRPr="00110511">
        <w:rPr>
          <w:rFonts w:ascii="Constantia" w:hAnsi="Constantia"/>
          <w:sz w:val="21"/>
          <w:szCs w:val="21"/>
          <w:lang w:val="sv-SE"/>
        </w:rPr>
        <w:t xml:space="preserve"> av </w:t>
      </w:r>
      <w:r w:rsidR="00BF3B5B">
        <w:rPr>
          <w:rFonts w:ascii="Constantia" w:hAnsi="Constantia"/>
          <w:sz w:val="21"/>
          <w:szCs w:val="21"/>
          <w:lang w:val="sv-SE"/>
        </w:rPr>
        <w:t>Optionsrätterna</w:t>
      </w:r>
      <w:r w:rsidR="00110511" w:rsidRPr="00110511">
        <w:rPr>
          <w:rFonts w:ascii="Constantia" w:hAnsi="Constantia"/>
          <w:sz w:val="21"/>
          <w:szCs w:val="21"/>
          <w:lang w:val="sv-SE"/>
        </w:rPr>
        <w:t xml:space="preserve">, dock som minimum </w:t>
      </w:r>
      <w:r w:rsidR="007765CE">
        <w:rPr>
          <w:rFonts w:ascii="Constantia" w:hAnsi="Constantia"/>
          <w:sz w:val="21"/>
          <w:szCs w:val="21"/>
          <w:lang w:val="sv-SE"/>
        </w:rPr>
        <w:t>A</w:t>
      </w:r>
      <w:r w:rsidR="00110511" w:rsidRPr="00110511">
        <w:rPr>
          <w:rFonts w:ascii="Constantia" w:hAnsi="Constantia"/>
          <w:sz w:val="21"/>
          <w:szCs w:val="21"/>
          <w:lang w:val="sv-SE"/>
        </w:rPr>
        <w:t xml:space="preserve">ktiens kvotvärde. </w:t>
      </w:r>
      <w:r w:rsidRPr="00BE7EA6">
        <w:rPr>
          <w:rFonts w:ascii="Constantia" w:hAnsi="Constantia"/>
          <w:sz w:val="21"/>
          <w:szCs w:val="21"/>
          <w:lang w:val="sv-SE"/>
        </w:rPr>
        <w:t>Omräkning av Teckningskurs liksom av det antal nya Aktier som varje Optionsrätt berättigar till Teckning av, kan äga rum i de fall som framgår av § 8 nedan.</w:t>
      </w:r>
    </w:p>
    <w:p w14:paraId="54B92049" w14:textId="21160C73" w:rsidR="00E34E99" w:rsidRPr="00B4441E" w:rsidRDefault="00E34E99" w:rsidP="00E34E99">
      <w:pPr>
        <w:rPr>
          <w:rFonts w:ascii="Constantia" w:hAnsi="Constantia"/>
          <w:i/>
          <w:sz w:val="21"/>
          <w:szCs w:val="21"/>
          <w:lang w:val="en-US"/>
        </w:rPr>
      </w:pPr>
      <w:r w:rsidRPr="00B4441E">
        <w:rPr>
          <w:rFonts w:ascii="Constantia" w:hAnsi="Constantia"/>
          <w:i/>
          <w:sz w:val="21"/>
          <w:szCs w:val="21"/>
          <w:lang w:val="en-US"/>
        </w:rPr>
        <w:t>The Warrant Holder shall be entitled to subscribe for one new Share for each Warrant during the period commencing</w:t>
      </w:r>
      <w:r w:rsidR="00BF3B5B" w:rsidRPr="00B4441E">
        <w:rPr>
          <w:rFonts w:ascii="Constantia" w:hAnsi="Constantia"/>
          <w:i/>
          <w:sz w:val="21"/>
          <w:szCs w:val="21"/>
          <w:lang w:val="en-US"/>
        </w:rPr>
        <w:t xml:space="preserve"> </w:t>
      </w:r>
      <w:r w:rsidR="003737B6" w:rsidRPr="00B4441E">
        <w:rPr>
          <w:rFonts w:ascii="Constantia" w:hAnsi="Constantia"/>
          <w:i/>
          <w:sz w:val="21"/>
          <w:szCs w:val="21"/>
          <w:lang w:val="en-US"/>
        </w:rPr>
        <w:t>1 March 202</w:t>
      </w:r>
      <w:r w:rsidR="00833E18">
        <w:rPr>
          <w:rFonts w:ascii="Constantia" w:hAnsi="Constantia"/>
          <w:i/>
          <w:sz w:val="21"/>
          <w:szCs w:val="21"/>
          <w:lang w:val="en-US"/>
        </w:rPr>
        <w:t>6</w:t>
      </w:r>
      <w:r w:rsidR="003737B6" w:rsidRPr="00B4441E">
        <w:rPr>
          <w:rFonts w:ascii="Constantia" w:hAnsi="Constantia"/>
          <w:i/>
          <w:sz w:val="21"/>
          <w:szCs w:val="21"/>
          <w:lang w:val="en-US"/>
        </w:rPr>
        <w:t xml:space="preserve"> </w:t>
      </w:r>
      <w:r w:rsidRPr="00B4441E">
        <w:rPr>
          <w:rFonts w:ascii="Constantia" w:hAnsi="Constantia"/>
          <w:i/>
          <w:sz w:val="21"/>
          <w:szCs w:val="21"/>
          <w:lang w:val="en-US"/>
        </w:rPr>
        <w:t xml:space="preserve">up to and including </w:t>
      </w:r>
      <w:r w:rsidR="003737B6" w:rsidRPr="00B4441E">
        <w:rPr>
          <w:rFonts w:ascii="Constantia" w:hAnsi="Constantia"/>
          <w:i/>
          <w:sz w:val="21"/>
          <w:szCs w:val="21"/>
          <w:lang w:val="en-US"/>
        </w:rPr>
        <w:t>15 March 202</w:t>
      </w:r>
      <w:r w:rsidR="00833E18">
        <w:rPr>
          <w:rFonts w:ascii="Constantia" w:hAnsi="Constantia"/>
          <w:i/>
          <w:sz w:val="21"/>
          <w:szCs w:val="21"/>
          <w:lang w:val="en-US"/>
        </w:rPr>
        <w:t>6</w:t>
      </w:r>
      <w:r w:rsidRPr="00B4441E">
        <w:rPr>
          <w:rFonts w:ascii="Constantia" w:hAnsi="Constantia"/>
          <w:i/>
          <w:sz w:val="21"/>
          <w:szCs w:val="21"/>
          <w:lang w:val="en-US"/>
        </w:rPr>
        <w:t xml:space="preserve">, or up to and including such earlier or later date as may follow from section 8 below. The Subscription Price per Share shall </w:t>
      </w:r>
      <w:r w:rsidR="00BF3B5B" w:rsidRPr="00B4441E">
        <w:rPr>
          <w:rFonts w:ascii="Constantia" w:hAnsi="Constantia"/>
          <w:i/>
          <w:sz w:val="21"/>
          <w:szCs w:val="21"/>
          <w:lang w:val="en-US"/>
        </w:rPr>
        <w:t xml:space="preserve">correspond to 150 percent of the volume weighted average price of the Share according </w:t>
      </w:r>
      <w:r w:rsidR="00C23ED1">
        <w:rPr>
          <w:rFonts w:ascii="Constantia" w:hAnsi="Constantia"/>
          <w:i/>
          <w:sz w:val="21"/>
          <w:szCs w:val="21"/>
          <w:lang w:val="en-US"/>
        </w:rPr>
        <w:t xml:space="preserve">to </w:t>
      </w:r>
      <w:r w:rsidR="00BF3B5B" w:rsidRPr="00B4441E">
        <w:rPr>
          <w:rFonts w:ascii="Constantia" w:hAnsi="Constantia"/>
          <w:i/>
          <w:sz w:val="21"/>
          <w:szCs w:val="21"/>
          <w:lang w:val="en-US"/>
        </w:rPr>
        <w:t xml:space="preserve">the official share list of NGM Nordic SME during the ten trading days immediately preceding the offer to </w:t>
      </w:r>
      <w:r w:rsidR="005A2C0B">
        <w:rPr>
          <w:rFonts w:ascii="Constantia" w:hAnsi="Constantia"/>
          <w:i/>
          <w:sz w:val="21"/>
          <w:szCs w:val="21"/>
          <w:lang w:val="en-US"/>
        </w:rPr>
        <w:t>acquire</w:t>
      </w:r>
      <w:r w:rsidR="00BF3B5B" w:rsidRPr="00B4441E">
        <w:rPr>
          <w:rFonts w:ascii="Constantia" w:hAnsi="Constantia"/>
          <w:i/>
          <w:sz w:val="21"/>
          <w:szCs w:val="21"/>
          <w:lang w:val="en-US"/>
        </w:rPr>
        <w:t xml:space="preserve"> Warrants, however not less than the quota value of the </w:t>
      </w:r>
      <w:r w:rsidR="007765CE" w:rsidRPr="00B4441E">
        <w:rPr>
          <w:rFonts w:ascii="Constantia" w:hAnsi="Constantia"/>
          <w:i/>
          <w:sz w:val="21"/>
          <w:szCs w:val="21"/>
          <w:lang w:val="en-US"/>
        </w:rPr>
        <w:t>S</w:t>
      </w:r>
      <w:r w:rsidR="00BF3B5B" w:rsidRPr="00B4441E">
        <w:rPr>
          <w:rFonts w:ascii="Constantia" w:hAnsi="Constantia"/>
          <w:i/>
          <w:sz w:val="21"/>
          <w:szCs w:val="21"/>
          <w:lang w:val="en-US"/>
        </w:rPr>
        <w:t>hares</w:t>
      </w:r>
      <w:r w:rsidRPr="00B4441E">
        <w:rPr>
          <w:rFonts w:ascii="Constantia" w:hAnsi="Constantia"/>
          <w:i/>
          <w:sz w:val="21"/>
          <w:szCs w:val="21"/>
          <w:lang w:val="en-US"/>
        </w:rPr>
        <w:t>. The Subscription Price, as well as the number of new Shares to which each Warrant entitles the Holder to Subscribe, may be recalculated in the cases set forth in section 8 below.</w:t>
      </w:r>
    </w:p>
    <w:p w14:paraId="5D18699C" w14:textId="77777777" w:rsidR="00E34E99" w:rsidRPr="00BE7EA6" w:rsidRDefault="00E34E99" w:rsidP="00E34E99">
      <w:pPr>
        <w:rPr>
          <w:rFonts w:ascii="Constantia" w:hAnsi="Constantia"/>
          <w:sz w:val="21"/>
          <w:szCs w:val="21"/>
          <w:lang w:val="sv-SE"/>
        </w:rPr>
      </w:pPr>
      <w:r w:rsidRPr="00BE7EA6">
        <w:rPr>
          <w:rFonts w:ascii="Constantia" w:hAnsi="Constantia"/>
          <w:sz w:val="21"/>
          <w:szCs w:val="21"/>
          <w:lang w:val="sv-SE"/>
        </w:rPr>
        <w:t>Bolaget ska vara skyldigt att om Innehavare så påkallar under ovan angiven tid, emittera det antal Aktier som avses med anmälan om Teckning.</w:t>
      </w:r>
    </w:p>
    <w:p w14:paraId="4D1E7339" w14:textId="5C9CA9AF" w:rsidR="00E34E99" w:rsidRPr="00B4441E" w:rsidRDefault="00E34E99" w:rsidP="0008023B">
      <w:pPr>
        <w:rPr>
          <w:rFonts w:ascii="Constantia" w:hAnsi="Constantia"/>
          <w:i/>
          <w:sz w:val="21"/>
          <w:szCs w:val="21"/>
          <w:lang w:val="en-US"/>
        </w:rPr>
      </w:pPr>
      <w:r w:rsidRPr="00B4441E">
        <w:rPr>
          <w:rFonts w:ascii="Constantia" w:hAnsi="Constantia"/>
          <w:i/>
          <w:sz w:val="21"/>
          <w:szCs w:val="21"/>
          <w:lang w:val="en-US"/>
        </w:rPr>
        <w:t>Upon demand by a Warrant Holder during the period stated above, the Company shall be obliged to issue the number of Shares to which an application for Subscription relates.</w:t>
      </w:r>
    </w:p>
    <w:bookmarkEnd w:id="1"/>
    <w:p w14:paraId="739C95AC" w14:textId="77777777" w:rsidR="0008023B" w:rsidRPr="00BE7EA6" w:rsidRDefault="0008023B" w:rsidP="0008023B">
      <w:pPr>
        <w:pStyle w:val="Heading2"/>
        <w:numPr>
          <w:ilvl w:val="0"/>
          <w:numId w:val="0"/>
        </w:numPr>
        <w:ind w:left="851" w:hanging="851"/>
        <w:rPr>
          <w:rFonts w:ascii="Constantia" w:hAnsi="Constantia"/>
          <w:sz w:val="21"/>
          <w:szCs w:val="21"/>
        </w:rPr>
      </w:pPr>
      <w:r w:rsidRPr="00BE7EA6">
        <w:rPr>
          <w:rFonts w:ascii="Constantia" w:hAnsi="Constantia"/>
          <w:sz w:val="21"/>
          <w:szCs w:val="21"/>
        </w:rPr>
        <w:t xml:space="preserve">§ 4 Teckning av Aktier / </w:t>
      </w:r>
      <w:r w:rsidRPr="00BE7EA6">
        <w:rPr>
          <w:rFonts w:ascii="Constantia" w:hAnsi="Constantia"/>
          <w:i/>
          <w:sz w:val="21"/>
          <w:szCs w:val="21"/>
        </w:rPr>
        <w:t>Subscription of Shares</w:t>
      </w:r>
    </w:p>
    <w:p w14:paraId="5926D627"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41F27AF2" w14:textId="77777777" w:rsidR="0008023B" w:rsidRPr="00B4441E" w:rsidRDefault="0008023B" w:rsidP="0008023B">
      <w:pPr>
        <w:rPr>
          <w:rFonts w:ascii="Constantia" w:hAnsi="Constantia"/>
          <w:i/>
          <w:sz w:val="21"/>
          <w:szCs w:val="21"/>
          <w:lang w:val="en-US"/>
        </w:rPr>
      </w:pPr>
      <w:bookmarkStart w:id="2" w:name="_Hlk12918923"/>
      <w:r w:rsidRPr="00B4441E">
        <w:rPr>
          <w:rFonts w:ascii="Constantia" w:hAnsi="Constantia"/>
          <w:i/>
          <w:sz w:val="21"/>
          <w:szCs w:val="21"/>
          <w:lang w:val="en-US"/>
        </w:rPr>
        <w:t>The following shall apply in the event the Company is a Central Securities Depository Company and the Warrants are registered on a VP Account. The Warrants may be exercised through a written application for Subscription to the Company or to the designated Central Securities Depository Company.</w:t>
      </w:r>
    </w:p>
    <w:bookmarkEnd w:id="2"/>
    <w:p w14:paraId="0E637B85"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19865C7C" w14:textId="77777777" w:rsidR="0008023B" w:rsidRPr="00B4441E" w:rsidRDefault="0008023B" w:rsidP="0008023B">
      <w:pPr>
        <w:rPr>
          <w:rFonts w:ascii="Constantia" w:hAnsi="Constantia"/>
          <w:i/>
          <w:sz w:val="21"/>
          <w:szCs w:val="21"/>
          <w:lang w:val="en-US"/>
        </w:rPr>
      </w:pPr>
      <w:bookmarkStart w:id="3" w:name="_Hlk12918985"/>
      <w:r w:rsidRPr="00B4441E">
        <w:rPr>
          <w:rFonts w:ascii="Constantia" w:hAnsi="Constantia"/>
          <w:i/>
          <w:sz w:val="21"/>
          <w:szCs w:val="21"/>
          <w:lang w:val="en-US"/>
        </w:rPr>
        <w:t>In the event the Company is not a Central Securities Depository Company or if the Warrants are not registered on a VP Account, the Warrants may be exercised through a written application for Subscription to the Company, stating the number of Warrants which are to be exercised. In</w:t>
      </w:r>
      <w:r w:rsidRPr="00B4441E">
        <w:rPr>
          <w:rFonts w:ascii="Constantia" w:hAnsi="Constantia"/>
          <w:sz w:val="21"/>
          <w:szCs w:val="21"/>
          <w:lang w:val="en-US"/>
        </w:rPr>
        <w:t xml:space="preserve"> </w:t>
      </w:r>
      <w:r w:rsidRPr="00B4441E">
        <w:rPr>
          <w:rFonts w:ascii="Constantia" w:hAnsi="Constantia"/>
          <w:i/>
          <w:sz w:val="21"/>
          <w:szCs w:val="21"/>
          <w:lang w:val="en-US"/>
        </w:rPr>
        <w:t>conjunction with a Subscription, the Warrant Holder shall, where applicable, surrender corresponding Warrant Certificates to the Company.</w:t>
      </w:r>
    </w:p>
    <w:bookmarkEnd w:id="3"/>
    <w:p w14:paraId="5296B93E"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5 Betalning / </w:t>
      </w:r>
      <w:r w:rsidRPr="00BE7EA6">
        <w:rPr>
          <w:rFonts w:ascii="Constantia" w:hAnsi="Constantia"/>
          <w:i/>
          <w:sz w:val="21"/>
          <w:szCs w:val="21"/>
          <w:lang w:val="sv-SE"/>
        </w:rPr>
        <w:t>Payment</w:t>
      </w:r>
    </w:p>
    <w:p w14:paraId="7B4D6233"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Teckning ska betalning samtidigt erläggas kontant för det antal Aktier som Teckningen avser.</w:t>
      </w:r>
    </w:p>
    <w:p w14:paraId="62BD4732" w14:textId="77777777" w:rsidR="0008023B" w:rsidRPr="00B4441E" w:rsidRDefault="0008023B" w:rsidP="0008023B">
      <w:pPr>
        <w:rPr>
          <w:rFonts w:ascii="Constantia" w:hAnsi="Constantia"/>
          <w:i/>
          <w:sz w:val="21"/>
          <w:szCs w:val="21"/>
          <w:lang w:val="en-US"/>
        </w:rPr>
      </w:pPr>
      <w:bookmarkStart w:id="4" w:name="_Hlk12919099"/>
      <w:r w:rsidRPr="00B4441E">
        <w:rPr>
          <w:rFonts w:ascii="Constantia" w:hAnsi="Constantia"/>
          <w:i/>
          <w:sz w:val="21"/>
          <w:szCs w:val="21"/>
          <w:lang w:val="en-US"/>
        </w:rPr>
        <w:t>Simultaneously with the Subscription, payment in cash shall be made for the number of Shares to which the Subscription relates.</w:t>
      </w:r>
    </w:p>
    <w:bookmarkEnd w:id="4"/>
    <w:p w14:paraId="12612EFF"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6 Införande i aktiebok m.m. / </w:t>
      </w:r>
      <w:r w:rsidRPr="00BE7EA6">
        <w:rPr>
          <w:rFonts w:ascii="Constantia" w:hAnsi="Constantia"/>
          <w:i/>
          <w:sz w:val="21"/>
          <w:szCs w:val="21"/>
          <w:lang w:val="sv-SE"/>
        </w:rPr>
        <w:t>Entry in the share register etc.</w:t>
      </w:r>
    </w:p>
    <w:p w14:paraId="35549A5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09B1F42B"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 is a Central Securities Depository Company at the time of Subscription, Subscription shall be effected through the Company ensuring the interim registration of the new Shares on a VP Account. Following registration at the Swedish Companies Registration Office, the registration on a VP Account shall become final. As stated in section 8 below, in certain cases the date of such final registration on a VP Account may be postponed.</w:t>
      </w:r>
    </w:p>
    <w:p w14:paraId="0AF0D311"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inte är Avstämningsbolag vid Teckningen, verkställs Teckning och tilldelning genom att de nya Aktierna tas upp i Bolagets aktiebok varefter registrering ska ske hos Bolagsverket.</w:t>
      </w:r>
    </w:p>
    <w:p w14:paraId="53DDE48D"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 is not a Central Securities Depository Company at the time of Subscription, Subscription shall be effected by the new Shares being entered as Shares in the Company’s share register and subsequently being registered at the Swedish Companies Registration Office.</w:t>
      </w:r>
    </w:p>
    <w:p w14:paraId="0295E9F7"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7 Rätt till vinstutdelning / </w:t>
      </w:r>
      <w:r w:rsidRPr="00BE7EA6">
        <w:rPr>
          <w:rFonts w:ascii="Constantia" w:hAnsi="Constantia"/>
          <w:i/>
          <w:sz w:val="21"/>
          <w:szCs w:val="21"/>
          <w:lang w:val="sv-SE"/>
        </w:rPr>
        <w:t>Entitlement to dividends</w:t>
      </w:r>
    </w:p>
    <w:p w14:paraId="4C3D5C0E"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är Avstämningsbolag medför Aktie som tillkommit på grund av Teckning rätt till vinstutdelning första gången på den avstämningsdag för utdelning som infaller närmast efter det att Teckning verkställts.</w:t>
      </w:r>
    </w:p>
    <w:p w14:paraId="69016F2F" w14:textId="77777777" w:rsidR="0008023B" w:rsidRPr="00B4441E" w:rsidRDefault="0008023B" w:rsidP="0008023B">
      <w:pPr>
        <w:rPr>
          <w:rFonts w:ascii="Constantia" w:hAnsi="Constantia"/>
          <w:i/>
          <w:sz w:val="21"/>
          <w:szCs w:val="21"/>
          <w:highlight w:val="cyan"/>
          <w:lang w:val="en-US"/>
        </w:rPr>
      </w:pPr>
      <w:r w:rsidRPr="00B4441E">
        <w:rPr>
          <w:rFonts w:ascii="Constantia" w:hAnsi="Constantia"/>
          <w:i/>
          <w:sz w:val="21"/>
          <w:szCs w:val="21"/>
          <w:lang w:val="en-US"/>
        </w:rPr>
        <w:t>In the event the Company is a Central Securities Depository Company, Shares which are newly issued following Subscription shall carry an entitlement to participate in dividends for the first time on the next record date for dividends which occurs after Subscription is effected.</w:t>
      </w:r>
    </w:p>
    <w:p w14:paraId="771356B5"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inte är Avstämningsbolag medför Aktie som tillkommit på grund av Teckning i förekommande fall rätt till vinstutdelning första gången på närmast följande bolagsstämma efter det att Teckning verkställts.</w:t>
      </w:r>
    </w:p>
    <w:p w14:paraId="3BF24887" w14:textId="77777777" w:rsidR="0008023B" w:rsidRPr="00B4441E" w:rsidRDefault="0008023B" w:rsidP="0008023B">
      <w:pPr>
        <w:rPr>
          <w:rFonts w:ascii="Constantia" w:hAnsi="Constantia"/>
          <w:i/>
          <w:sz w:val="21"/>
          <w:szCs w:val="21"/>
          <w:highlight w:val="cyan"/>
          <w:lang w:val="en-US"/>
        </w:rPr>
      </w:pPr>
      <w:r w:rsidRPr="00B4441E">
        <w:rPr>
          <w:rFonts w:ascii="Constantia" w:hAnsi="Constantia"/>
          <w:i/>
          <w:sz w:val="21"/>
          <w:szCs w:val="21"/>
          <w:lang w:val="en-US"/>
        </w:rPr>
        <w:t>In the event the Company is not a Central Securities Depository Company, Shares which are newly issued following Subscription shall entitle the holder to a dividend at the first shareholders’ meeting following the date which occurs after Subscription is effected.</w:t>
      </w:r>
    </w:p>
    <w:p w14:paraId="58D536BD" w14:textId="77777777" w:rsidR="0008023B" w:rsidRPr="00BE7EA6" w:rsidRDefault="0008023B" w:rsidP="0008023B">
      <w:pPr>
        <w:pStyle w:val="Heading2"/>
        <w:numPr>
          <w:ilvl w:val="0"/>
          <w:numId w:val="0"/>
        </w:numPr>
        <w:ind w:left="851" w:hanging="851"/>
        <w:rPr>
          <w:rFonts w:ascii="Constantia" w:hAnsi="Constantia"/>
          <w:sz w:val="21"/>
          <w:szCs w:val="21"/>
        </w:rPr>
      </w:pPr>
      <w:r w:rsidRPr="00BE7EA6">
        <w:rPr>
          <w:rFonts w:ascii="Constantia" w:hAnsi="Constantia"/>
          <w:sz w:val="21"/>
          <w:szCs w:val="21"/>
        </w:rPr>
        <w:t xml:space="preserve">§ 8 Omräkning av Teckningskurs m.m. / </w:t>
      </w:r>
      <w:r w:rsidRPr="00BE7EA6">
        <w:rPr>
          <w:rFonts w:ascii="Constantia" w:hAnsi="Constantia"/>
          <w:i/>
          <w:sz w:val="21"/>
          <w:szCs w:val="21"/>
        </w:rPr>
        <w:t>Recalculation of Subscription Price etc.</w:t>
      </w:r>
    </w:p>
    <w:p w14:paraId="06A1C662"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Genomför Bolaget någon av nedan angivna åtgärder gäller, beträffande den rätt som tillkommer Innehavare, vad som följer enligt nedan.</w:t>
      </w:r>
    </w:p>
    <w:p w14:paraId="0744494A"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If the Company carries out any of the measures listed below, the following applies regarding the right that the Warrant Holder holds.</w:t>
      </w:r>
    </w:p>
    <w:p w14:paraId="61BC4B63"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Inte i något fall ska dock omräkning enligt bestämmelserna i denna § 8 kunna leda till att Teckningskursen understiger kvotvärdet på Bolagets Aktier.</w:t>
      </w:r>
    </w:p>
    <w:p w14:paraId="0FA4F4F4" w14:textId="77777777" w:rsidR="008D3EF1" w:rsidRPr="00B4441E" w:rsidRDefault="008D3EF1" w:rsidP="008D3EF1">
      <w:pPr>
        <w:rPr>
          <w:rFonts w:ascii="Constantia" w:hAnsi="Constantia"/>
          <w:i/>
          <w:sz w:val="21"/>
          <w:szCs w:val="21"/>
          <w:lang w:val="en-US"/>
        </w:rPr>
      </w:pPr>
      <w:r w:rsidRPr="00B4441E">
        <w:rPr>
          <w:rFonts w:ascii="Constantia" w:hAnsi="Constantia"/>
          <w:i/>
          <w:sz w:val="21"/>
          <w:szCs w:val="21"/>
          <w:lang w:val="en-US"/>
        </w:rPr>
        <w:t>Recalculation according to the provisions in this section 8 shall under no circumstances cause the Subsription Price to be less than the quota value of the Company’s Shares.</w:t>
      </w:r>
    </w:p>
    <w:p w14:paraId="4655DBE7" w14:textId="77777777" w:rsidR="0008023B" w:rsidRPr="00BE7EA6" w:rsidRDefault="0008023B" w:rsidP="0008023B">
      <w:pPr>
        <w:rPr>
          <w:rFonts w:ascii="Constantia" w:hAnsi="Constantia"/>
          <w:i/>
          <w:sz w:val="21"/>
          <w:szCs w:val="21"/>
        </w:rPr>
      </w:pPr>
    </w:p>
    <w:p w14:paraId="66E20DA6" w14:textId="77777777" w:rsidR="0008023B" w:rsidRPr="00BE7EA6" w:rsidRDefault="0008023B" w:rsidP="0008023B">
      <w:pPr>
        <w:rPr>
          <w:rFonts w:ascii="Constantia" w:hAnsi="Constantia"/>
          <w:b/>
          <w:i/>
          <w:sz w:val="21"/>
          <w:szCs w:val="21"/>
          <w:lang w:val="sv-SE"/>
        </w:rPr>
      </w:pPr>
      <w:r w:rsidRPr="00BE7EA6">
        <w:rPr>
          <w:rFonts w:ascii="Constantia" w:hAnsi="Constantia"/>
          <w:b/>
          <w:i/>
          <w:sz w:val="21"/>
          <w:szCs w:val="21"/>
          <w:lang w:val="sv-SE"/>
        </w:rPr>
        <w:t>A. Fondemission / Bonus Issue</w:t>
      </w:r>
    </w:p>
    <w:p w14:paraId="09328641"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2552322" w14:textId="77777777" w:rsidR="0008023B" w:rsidRPr="00B4441E" w:rsidRDefault="00F122C5" w:rsidP="0008023B">
      <w:pPr>
        <w:rPr>
          <w:rFonts w:ascii="Constantia" w:hAnsi="Constantia"/>
          <w:i/>
          <w:sz w:val="21"/>
          <w:szCs w:val="21"/>
          <w:lang w:val="en-US"/>
        </w:rPr>
      </w:pPr>
      <w:r w:rsidRPr="00B4441E">
        <w:rPr>
          <w:rFonts w:ascii="Constantia" w:hAnsi="Constantia"/>
          <w:i/>
          <w:sz w:val="21"/>
          <w:szCs w:val="21"/>
          <w:lang w:val="en-US"/>
        </w:rPr>
        <w:t>In the event the Company carries out a bonus issue, where Subscription is made in such time that it cannot be effected by no later than three weeks prior to the general meeting at which a bonus issue resolution is to be adopted, Subscription may be effected only after such a shareholder’s meeting has adopted a resolution thereon. Shares which vest as a consequence of Subscription effected following the bonus issue resolution shall be the subject of interim registration on a VP Account, and accordingly shall not be entitled to participate in the bonus issue. Final registration on a VP Account shall take place only after the record date for the bonus issue.</w:t>
      </w:r>
    </w:p>
    <w:p w14:paraId="4731C00B"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5AA14707" w14:textId="77777777" w:rsidR="0008023B" w:rsidRPr="00B4441E" w:rsidRDefault="008D5912" w:rsidP="0008023B">
      <w:pPr>
        <w:rPr>
          <w:rFonts w:ascii="Constantia" w:hAnsi="Constantia"/>
          <w:i/>
          <w:sz w:val="21"/>
          <w:szCs w:val="21"/>
          <w:lang w:val="en-US"/>
        </w:rPr>
      </w:pPr>
      <w:r w:rsidRPr="00B4441E">
        <w:rPr>
          <w:rFonts w:ascii="Constantia" w:hAnsi="Constantia"/>
          <w:i/>
          <w:sz w:val="21"/>
          <w:szCs w:val="21"/>
          <w:lang w:val="en-US"/>
        </w:rPr>
        <w:t>In the event the Company is not a Central Securities Depository Company at the time a new issue resolution is adopted by the shareholders’ meeting, Shares which vest as a consequence of Subscription effected through the new Shares being entered in the Company’s share register as interim shares on the date of the shareholders meeting’s resolution, shall be entitled to participate in the new issue.</w:t>
      </w:r>
    </w:p>
    <w:p w14:paraId="782EB9FF" w14:textId="77777777" w:rsidR="0008023B" w:rsidRPr="00BE7EA6" w:rsidRDefault="0008023B" w:rsidP="0008023B">
      <w:pPr>
        <w:rPr>
          <w:rFonts w:ascii="Constantia" w:hAnsi="Constantia"/>
          <w:sz w:val="21"/>
          <w:szCs w:val="21"/>
        </w:rPr>
      </w:pPr>
      <w:r w:rsidRPr="00BE7EA6">
        <w:rPr>
          <w:rFonts w:ascii="Constantia" w:hAnsi="Constantia"/>
          <w:sz w:val="21"/>
          <w:szCs w:val="21"/>
          <w:lang w:val="sv-SE"/>
        </w:rPr>
        <w:t xml:space="preserve">Vid Teckning som verkställs efter beslutet om fondemission tillämpas en omräknad Teckningskurs liksom en omräkning av det antal Aktier som varje Optionsrätt berättigar till Teckning av. </w:t>
      </w:r>
      <w:r w:rsidRPr="00BE7EA6">
        <w:rPr>
          <w:rFonts w:ascii="Constantia" w:hAnsi="Constantia"/>
          <w:sz w:val="21"/>
          <w:szCs w:val="21"/>
        </w:rPr>
        <w:t>Omräkningarna utförs av Bolaget enligt följande formel:</w:t>
      </w:r>
    </w:p>
    <w:p w14:paraId="33A25F67" w14:textId="045A71D8" w:rsidR="0008023B" w:rsidRPr="00B4441E" w:rsidRDefault="00096A56" w:rsidP="0008023B">
      <w:pPr>
        <w:rPr>
          <w:rFonts w:ascii="Constantia" w:hAnsi="Constantia"/>
          <w:i/>
          <w:sz w:val="21"/>
          <w:szCs w:val="21"/>
          <w:lang w:val="en-US"/>
        </w:rPr>
      </w:pPr>
      <w:r w:rsidRPr="00B4441E">
        <w:rPr>
          <w:rFonts w:ascii="Constantia" w:hAnsi="Constantia"/>
          <w:i/>
          <w:sz w:val="21"/>
          <w:szCs w:val="21"/>
          <w:lang w:val="en-US"/>
        </w:rPr>
        <w:t>In the case of Subscription</w:t>
      </w:r>
      <w:r w:rsidR="00C23ED1">
        <w:rPr>
          <w:rFonts w:ascii="Constantia" w:hAnsi="Constantia"/>
          <w:i/>
          <w:sz w:val="21"/>
          <w:szCs w:val="21"/>
          <w:lang w:val="en-US"/>
        </w:rPr>
        <w:t>,</w:t>
      </w:r>
      <w:r w:rsidRPr="00B4441E">
        <w:rPr>
          <w:rFonts w:ascii="Constantia" w:hAnsi="Constantia"/>
          <w:i/>
          <w:sz w:val="21"/>
          <w:szCs w:val="21"/>
          <w:lang w:val="en-US"/>
        </w:rPr>
        <w:t xml:space="preserve"> which is effected following a bonus issue resolution, a recalculated Subscription Price shall be applied, as well as a recalculation of the number of Shares to which each Warrant provides an entitlement to Subscribe. The recalculations shall be made by the Company based on the following formula:</w:t>
      </w:r>
    </w:p>
    <w:p w14:paraId="7732BE51"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696203E4" w14:textId="77777777" w:rsidTr="00F022E8">
        <w:tc>
          <w:tcPr>
            <w:tcW w:w="2547" w:type="dxa"/>
            <w:vAlign w:val="center"/>
          </w:tcPr>
          <w:p w14:paraId="70BC29B3" w14:textId="77777777" w:rsidR="0008023B" w:rsidRPr="00BE7EA6" w:rsidRDefault="0008023B" w:rsidP="00F022E8">
            <w:pPr>
              <w:jc w:val="left"/>
              <w:rPr>
                <w:rFonts w:ascii="Constantia" w:hAnsi="Constantia"/>
                <w:sz w:val="21"/>
                <w:szCs w:val="21"/>
              </w:rPr>
            </w:pPr>
          </w:p>
        </w:tc>
        <w:tc>
          <w:tcPr>
            <w:tcW w:w="709" w:type="dxa"/>
            <w:vAlign w:val="center"/>
          </w:tcPr>
          <w:p w14:paraId="7D98B707"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66B2833F"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Teckningskurs x antalet Aktier före fondemissionen / </w:t>
            </w:r>
            <w:r w:rsidRPr="00BE7EA6">
              <w:rPr>
                <w:rFonts w:ascii="Constantia" w:hAnsi="Constantia"/>
                <w:i/>
                <w:sz w:val="21"/>
                <w:szCs w:val="21"/>
              </w:rPr>
              <w:t>previous Subscription Price x number of Shares prior to the bonus issue</w:t>
            </w:r>
          </w:p>
        </w:tc>
      </w:tr>
      <w:tr w:rsidR="0008023B" w:rsidRPr="00BE7EA6" w14:paraId="5DD1EDAE" w14:textId="77777777" w:rsidTr="00F022E8">
        <w:trPr>
          <w:trHeight w:val="409"/>
        </w:trPr>
        <w:tc>
          <w:tcPr>
            <w:tcW w:w="2547" w:type="dxa"/>
            <w:vMerge w:val="restart"/>
            <w:vAlign w:val="center"/>
          </w:tcPr>
          <w:p w14:paraId="703C3344"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omräknad Teckningskurs / </w:t>
            </w:r>
            <w:r w:rsidRPr="00BE7EA6">
              <w:rPr>
                <w:rFonts w:ascii="Constantia" w:hAnsi="Constantia"/>
                <w:i/>
                <w:sz w:val="21"/>
                <w:szCs w:val="21"/>
              </w:rPr>
              <w:t>recalculated Subscription Price</w:t>
            </w:r>
          </w:p>
        </w:tc>
        <w:tc>
          <w:tcPr>
            <w:tcW w:w="709" w:type="dxa"/>
            <w:vMerge w:val="restart"/>
            <w:vAlign w:val="center"/>
          </w:tcPr>
          <w:p w14:paraId="5087B80E"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01ACD0C6" w14:textId="77777777" w:rsidR="0008023B" w:rsidRPr="00BE7EA6" w:rsidRDefault="0008023B" w:rsidP="00F022E8">
            <w:pPr>
              <w:jc w:val="left"/>
              <w:rPr>
                <w:rFonts w:ascii="Constantia" w:hAnsi="Constantia"/>
                <w:sz w:val="21"/>
                <w:szCs w:val="21"/>
                <w:lang w:val="sv-SE"/>
              </w:rPr>
            </w:pPr>
          </w:p>
        </w:tc>
      </w:tr>
      <w:tr w:rsidR="0008023B" w:rsidRPr="00BE7EA6" w14:paraId="37093D8D" w14:textId="77777777" w:rsidTr="00F022E8">
        <w:trPr>
          <w:trHeight w:val="509"/>
        </w:trPr>
        <w:tc>
          <w:tcPr>
            <w:tcW w:w="2547" w:type="dxa"/>
            <w:vMerge/>
            <w:vAlign w:val="center"/>
          </w:tcPr>
          <w:p w14:paraId="59981D6E"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3BADE10C"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189F6C44"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antalet Aktier efter fondemissionen / </w:t>
            </w:r>
            <w:r w:rsidRPr="00BE7EA6">
              <w:rPr>
                <w:rFonts w:ascii="Constantia" w:hAnsi="Constantia"/>
                <w:i/>
                <w:sz w:val="21"/>
                <w:szCs w:val="21"/>
              </w:rPr>
              <w:t xml:space="preserve">number of Shares </w:t>
            </w:r>
            <w:r w:rsidR="00C06C44" w:rsidRPr="00BE7EA6">
              <w:rPr>
                <w:rFonts w:ascii="Constantia" w:hAnsi="Constantia"/>
                <w:i/>
                <w:sz w:val="21"/>
                <w:szCs w:val="21"/>
              </w:rPr>
              <w:t>after</w:t>
            </w:r>
            <w:r w:rsidRPr="00BE7EA6">
              <w:rPr>
                <w:rFonts w:ascii="Constantia" w:hAnsi="Constantia"/>
                <w:i/>
                <w:sz w:val="21"/>
                <w:szCs w:val="21"/>
              </w:rPr>
              <w:t xml:space="preserve"> the bonus issue</w:t>
            </w:r>
          </w:p>
        </w:tc>
      </w:tr>
      <w:tr w:rsidR="0008023B" w:rsidRPr="00BE7EA6" w14:paraId="4DC6BEC5" w14:textId="77777777" w:rsidTr="00F022E8">
        <w:tc>
          <w:tcPr>
            <w:tcW w:w="2547" w:type="dxa"/>
            <w:vAlign w:val="center"/>
          </w:tcPr>
          <w:p w14:paraId="788B23AF" w14:textId="77777777" w:rsidR="0008023B" w:rsidRPr="00BE7EA6" w:rsidRDefault="0008023B" w:rsidP="00F022E8">
            <w:pPr>
              <w:jc w:val="left"/>
              <w:rPr>
                <w:rFonts w:ascii="Constantia" w:hAnsi="Constantia"/>
                <w:sz w:val="21"/>
                <w:szCs w:val="21"/>
              </w:rPr>
            </w:pPr>
          </w:p>
        </w:tc>
        <w:tc>
          <w:tcPr>
            <w:tcW w:w="709" w:type="dxa"/>
            <w:vAlign w:val="center"/>
          </w:tcPr>
          <w:p w14:paraId="0CE4EC22" w14:textId="77777777" w:rsidR="0008023B" w:rsidRPr="00BE7EA6" w:rsidRDefault="0008023B" w:rsidP="00F022E8">
            <w:pPr>
              <w:jc w:val="left"/>
              <w:rPr>
                <w:rFonts w:ascii="Constantia" w:hAnsi="Constantia"/>
                <w:sz w:val="21"/>
                <w:szCs w:val="21"/>
              </w:rPr>
            </w:pPr>
          </w:p>
        </w:tc>
        <w:tc>
          <w:tcPr>
            <w:tcW w:w="5804" w:type="dxa"/>
            <w:vMerge/>
            <w:vAlign w:val="center"/>
          </w:tcPr>
          <w:p w14:paraId="45439C0F" w14:textId="77777777" w:rsidR="0008023B" w:rsidRPr="00BE7EA6" w:rsidRDefault="0008023B" w:rsidP="00F022E8">
            <w:pPr>
              <w:jc w:val="left"/>
              <w:rPr>
                <w:rFonts w:ascii="Constantia" w:hAnsi="Constantia"/>
                <w:sz w:val="21"/>
                <w:szCs w:val="21"/>
              </w:rPr>
            </w:pPr>
          </w:p>
        </w:tc>
      </w:tr>
    </w:tbl>
    <w:p w14:paraId="5C9164CE" w14:textId="77777777" w:rsidR="0008023B" w:rsidRPr="00BE7EA6" w:rsidRDefault="0008023B" w:rsidP="0008023B">
      <w:pPr>
        <w:rPr>
          <w:rFonts w:ascii="Constantia" w:hAnsi="Constantia"/>
          <w:sz w:val="21"/>
          <w:szCs w:val="21"/>
        </w:rPr>
      </w:pPr>
    </w:p>
    <w:p w14:paraId="50D5197D" w14:textId="77777777" w:rsidR="0008023B" w:rsidRPr="00BE7EA6" w:rsidRDefault="0008023B" w:rsidP="0008023B">
      <w:pPr>
        <w:rPr>
          <w:rFonts w:ascii="Constantia" w:hAnsi="Constantia"/>
          <w:sz w:val="21"/>
          <w:szCs w:val="21"/>
        </w:rPr>
      </w:pPr>
    </w:p>
    <w:p w14:paraId="1A3FA468" w14:textId="77777777" w:rsidR="00B74986" w:rsidRPr="00BE7EA6" w:rsidRDefault="00B74986"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0ECC6E2B" w14:textId="77777777" w:rsidTr="00F022E8">
        <w:tc>
          <w:tcPr>
            <w:tcW w:w="2547" w:type="dxa"/>
            <w:vAlign w:val="center"/>
          </w:tcPr>
          <w:p w14:paraId="1692F503" w14:textId="77777777" w:rsidR="0008023B" w:rsidRPr="00BE7EA6" w:rsidRDefault="0008023B" w:rsidP="00F022E8">
            <w:pPr>
              <w:jc w:val="left"/>
              <w:rPr>
                <w:rFonts w:ascii="Constantia" w:hAnsi="Constantia"/>
                <w:sz w:val="21"/>
                <w:szCs w:val="21"/>
              </w:rPr>
            </w:pPr>
          </w:p>
        </w:tc>
        <w:tc>
          <w:tcPr>
            <w:tcW w:w="709" w:type="dxa"/>
            <w:vAlign w:val="center"/>
          </w:tcPr>
          <w:p w14:paraId="1ECE35A8"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67ED1F08"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antal Aktier, som varje Optionsrätt ger rätt att teckna x antalet Aktier efter fondemissionen / </w:t>
            </w:r>
            <w:r w:rsidRPr="00BE7EA6">
              <w:rPr>
                <w:rFonts w:ascii="Constantia" w:hAnsi="Constantia"/>
                <w:i/>
                <w:sz w:val="21"/>
                <w:szCs w:val="21"/>
              </w:rPr>
              <w:t xml:space="preserve">the previous number of Shares that each Warrant entitled to </w:t>
            </w:r>
            <w:r w:rsidR="00DE7C80" w:rsidRPr="00BE7EA6">
              <w:rPr>
                <w:rFonts w:ascii="Constantia" w:hAnsi="Constantia"/>
                <w:i/>
                <w:sz w:val="21"/>
                <w:szCs w:val="21"/>
              </w:rPr>
              <w:t>s</w:t>
            </w:r>
            <w:r w:rsidRPr="00BE7EA6">
              <w:rPr>
                <w:rFonts w:ascii="Constantia" w:hAnsi="Constantia"/>
                <w:i/>
                <w:sz w:val="21"/>
                <w:szCs w:val="21"/>
              </w:rPr>
              <w:t xml:space="preserve">ubscribe for x number of Shares </w:t>
            </w:r>
            <w:r w:rsidR="00F022E8" w:rsidRPr="00BE7EA6">
              <w:rPr>
                <w:rFonts w:ascii="Constantia" w:hAnsi="Constantia"/>
                <w:i/>
                <w:sz w:val="21"/>
                <w:szCs w:val="21"/>
              </w:rPr>
              <w:t>after</w:t>
            </w:r>
            <w:r w:rsidRPr="00BE7EA6">
              <w:rPr>
                <w:rFonts w:ascii="Constantia" w:hAnsi="Constantia"/>
                <w:i/>
                <w:sz w:val="21"/>
                <w:szCs w:val="21"/>
              </w:rPr>
              <w:t xml:space="preserve"> the bonus issue</w:t>
            </w:r>
          </w:p>
        </w:tc>
      </w:tr>
      <w:tr w:rsidR="0008023B" w:rsidRPr="00BE7EA6" w14:paraId="2BACD272" w14:textId="77777777" w:rsidTr="00F022E8">
        <w:trPr>
          <w:trHeight w:val="409"/>
        </w:trPr>
        <w:tc>
          <w:tcPr>
            <w:tcW w:w="2547" w:type="dxa"/>
            <w:vMerge w:val="restart"/>
            <w:vAlign w:val="center"/>
          </w:tcPr>
          <w:p w14:paraId="53AB2F8D" w14:textId="77777777" w:rsidR="0008023B" w:rsidRPr="00BE7EA6" w:rsidRDefault="0008023B" w:rsidP="00F022E8">
            <w:pPr>
              <w:jc w:val="left"/>
              <w:rPr>
                <w:rFonts w:ascii="Constantia" w:hAnsi="Constantia"/>
                <w:i/>
                <w:sz w:val="21"/>
                <w:szCs w:val="21"/>
              </w:rPr>
            </w:pPr>
            <w:r w:rsidRPr="00BE7EA6">
              <w:rPr>
                <w:rFonts w:ascii="Constantia" w:hAnsi="Constantia"/>
                <w:sz w:val="21"/>
                <w:szCs w:val="21"/>
              </w:rPr>
              <w:t>omräknat antal Aktier som varje Optionsrätt ger rätt att teckna / r</w:t>
            </w:r>
            <w:r w:rsidRPr="00BE7EA6">
              <w:rPr>
                <w:rFonts w:ascii="Constantia" w:hAnsi="Constantia"/>
                <w:i/>
                <w:sz w:val="21"/>
                <w:szCs w:val="21"/>
              </w:rPr>
              <w:t xml:space="preserve">ecalculated number of Shares that each Warrant entitles to </w:t>
            </w:r>
            <w:r w:rsidR="00637F52" w:rsidRPr="00BE7EA6">
              <w:rPr>
                <w:rFonts w:ascii="Constantia" w:hAnsi="Constantia"/>
                <w:i/>
                <w:sz w:val="21"/>
                <w:szCs w:val="21"/>
              </w:rPr>
              <w:t>s</w:t>
            </w:r>
            <w:r w:rsidRPr="00BE7EA6">
              <w:rPr>
                <w:rFonts w:ascii="Constantia" w:hAnsi="Constantia"/>
                <w:i/>
                <w:sz w:val="21"/>
                <w:szCs w:val="21"/>
              </w:rPr>
              <w:t>ubscribe for</w:t>
            </w:r>
          </w:p>
        </w:tc>
        <w:tc>
          <w:tcPr>
            <w:tcW w:w="709" w:type="dxa"/>
            <w:vMerge w:val="restart"/>
            <w:vAlign w:val="center"/>
          </w:tcPr>
          <w:p w14:paraId="694C1C72"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27EC34A8" w14:textId="77777777" w:rsidR="0008023B" w:rsidRPr="00BE7EA6" w:rsidRDefault="0008023B" w:rsidP="00F022E8">
            <w:pPr>
              <w:jc w:val="left"/>
              <w:rPr>
                <w:rFonts w:ascii="Constantia" w:hAnsi="Constantia"/>
                <w:sz w:val="21"/>
                <w:szCs w:val="21"/>
                <w:lang w:val="sv-SE"/>
              </w:rPr>
            </w:pPr>
          </w:p>
        </w:tc>
      </w:tr>
      <w:tr w:rsidR="0008023B" w:rsidRPr="00BE7EA6" w14:paraId="1D8D859E" w14:textId="77777777" w:rsidTr="00F022E8">
        <w:trPr>
          <w:trHeight w:val="509"/>
        </w:trPr>
        <w:tc>
          <w:tcPr>
            <w:tcW w:w="2547" w:type="dxa"/>
            <w:vMerge/>
            <w:vAlign w:val="center"/>
          </w:tcPr>
          <w:p w14:paraId="201228D9"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73B5C09B" w14:textId="77777777" w:rsidR="0008023B" w:rsidRPr="00BE7EA6" w:rsidRDefault="0008023B" w:rsidP="00F022E8">
            <w:pPr>
              <w:jc w:val="left"/>
              <w:rPr>
                <w:rFonts w:ascii="Constantia" w:hAnsi="Constantia"/>
                <w:sz w:val="21"/>
                <w:szCs w:val="21"/>
                <w:lang w:val="sv-SE"/>
              </w:rPr>
            </w:pPr>
          </w:p>
        </w:tc>
        <w:tc>
          <w:tcPr>
            <w:tcW w:w="5804" w:type="dxa"/>
            <w:tcBorders>
              <w:top w:val="single" w:sz="4" w:space="0" w:color="auto"/>
            </w:tcBorders>
            <w:vAlign w:val="center"/>
          </w:tcPr>
          <w:p w14:paraId="1EAAE7DB"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antalet Aktier före fondemissionen / </w:t>
            </w:r>
            <w:r w:rsidRPr="00BE7EA6">
              <w:rPr>
                <w:rFonts w:ascii="Constantia" w:hAnsi="Constantia"/>
                <w:i/>
                <w:sz w:val="21"/>
                <w:szCs w:val="21"/>
              </w:rPr>
              <w:t xml:space="preserve">number of Shares </w:t>
            </w:r>
            <w:r w:rsidR="005E551E" w:rsidRPr="00BE7EA6">
              <w:rPr>
                <w:rFonts w:ascii="Constantia" w:hAnsi="Constantia"/>
                <w:i/>
                <w:sz w:val="21"/>
                <w:szCs w:val="21"/>
              </w:rPr>
              <w:t>prior to</w:t>
            </w:r>
            <w:r w:rsidRPr="00BE7EA6">
              <w:rPr>
                <w:rFonts w:ascii="Constantia" w:hAnsi="Constantia"/>
                <w:i/>
                <w:sz w:val="21"/>
                <w:szCs w:val="21"/>
              </w:rPr>
              <w:t xml:space="preserve"> </w:t>
            </w:r>
            <w:r w:rsidR="00521CBF" w:rsidRPr="00BE7EA6">
              <w:rPr>
                <w:rFonts w:ascii="Constantia" w:hAnsi="Constantia"/>
                <w:i/>
                <w:sz w:val="21"/>
                <w:szCs w:val="21"/>
              </w:rPr>
              <w:t xml:space="preserve">the </w:t>
            </w:r>
            <w:r w:rsidRPr="00BE7EA6">
              <w:rPr>
                <w:rFonts w:ascii="Constantia" w:hAnsi="Constantia"/>
                <w:i/>
                <w:sz w:val="21"/>
                <w:szCs w:val="21"/>
              </w:rPr>
              <w:t>bonus issue</w:t>
            </w:r>
          </w:p>
        </w:tc>
      </w:tr>
    </w:tbl>
    <w:p w14:paraId="594BB5B2"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Enligt ovan omräknad Teckningskurs och omräknat antal Aktier fastställs snarast möjligt efter bolagsstämmans beslut om fondemission men tillämpas i förekommande fall först efter avstämningsdagen för emissionen.</w:t>
      </w:r>
    </w:p>
    <w:p w14:paraId="48864973" w14:textId="77777777" w:rsidR="0008023B" w:rsidRPr="00B4441E" w:rsidRDefault="004340C3" w:rsidP="0008023B">
      <w:pPr>
        <w:rPr>
          <w:rFonts w:ascii="Constantia" w:hAnsi="Constantia"/>
          <w:i/>
          <w:sz w:val="21"/>
          <w:szCs w:val="21"/>
          <w:lang w:val="en-US"/>
        </w:rPr>
      </w:pPr>
      <w:r w:rsidRPr="00B4441E">
        <w:rPr>
          <w:rFonts w:ascii="Constantia" w:hAnsi="Constantia"/>
          <w:i/>
          <w:sz w:val="21"/>
          <w:szCs w:val="21"/>
          <w:lang w:val="en-US"/>
        </w:rPr>
        <w:t>A recalculated Subscription Price and recalculated number of Shares in accordance with the provisions above shall be determined as soon as possible after the shareholders’ meeting has adopted a bonus issue resolution but, where applicable, shall be applied only after the record date for the bonus issue.</w:t>
      </w:r>
    </w:p>
    <w:p w14:paraId="62BCAE2C" w14:textId="77777777" w:rsidR="0008023B" w:rsidRPr="00616AB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B. Sammanläggning eller uppdelning (split) / </w:t>
      </w:r>
      <w:r w:rsidRPr="00616AB6">
        <w:rPr>
          <w:rFonts w:ascii="Constantia" w:hAnsi="Constantia"/>
          <w:b/>
          <w:i/>
          <w:sz w:val="21"/>
          <w:szCs w:val="21"/>
          <w:lang w:val="sv-SE"/>
        </w:rPr>
        <w:t>Reverse share split or share split</w:t>
      </w:r>
    </w:p>
    <w:p w14:paraId="7B72AF50"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79BC8E63" w14:textId="77777777" w:rsidR="0008023B" w:rsidRPr="00B4441E" w:rsidRDefault="00FB6248" w:rsidP="0008023B">
      <w:pPr>
        <w:rPr>
          <w:rFonts w:ascii="Constantia" w:hAnsi="Constantia"/>
          <w:i/>
          <w:sz w:val="21"/>
          <w:szCs w:val="21"/>
          <w:lang w:val="en-US"/>
        </w:rPr>
      </w:pPr>
      <w:r w:rsidRPr="00B4441E">
        <w:rPr>
          <w:rFonts w:ascii="Constantia" w:hAnsi="Constantia"/>
          <w:i/>
          <w:sz w:val="21"/>
          <w:szCs w:val="21"/>
          <w:lang w:val="en-US"/>
        </w:rPr>
        <w:t>In the occasion of reverse share splitting or share splitting of the Company’s existing Shares, the provisions of item A shall apply mutatis mutandis whereupon, where appropriate, the record date shall be deemed to be the day on which a reverse share split or share split takes place at Euroclear, upon request by the Company.</w:t>
      </w:r>
    </w:p>
    <w:p w14:paraId="51AF75C2" w14:textId="77777777" w:rsidR="0008023B" w:rsidRPr="00BE7EA6" w:rsidRDefault="0008023B" w:rsidP="0008023B">
      <w:pPr>
        <w:keepNext/>
        <w:rPr>
          <w:rFonts w:ascii="Constantia" w:hAnsi="Constantia"/>
          <w:b/>
          <w:i/>
          <w:sz w:val="21"/>
          <w:szCs w:val="21"/>
        </w:rPr>
      </w:pPr>
      <w:r w:rsidRPr="00BE7EA6">
        <w:rPr>
          <w:rFonts w:ascii="Constantia" w:hAnsi="Constantia"/>
          <w:b/>
          <w:i/>
          <w:sz w:val="21"/>
          <w:szCs w:val="21"/>
        </w:rPr>
        <w:t>C. Nyemission av Aktier / New share issues</w:t>
      </w:r>
    </w:p>
    <w:p w14:paraId="53456ED0" w14:textId="77777777" w:rsidR="0008023B" w:rsidRPr="00BE7EA6" w:rsidRDefault="0008023B" w:rsidP="0008023B">
      <w:pPr>
        <w:keepNext/>
        <w:rPr>
          <w:rFonts w:ascii="Constantia" w:hAnsi="Constantia"/>
          <w:sz w:val="21"/>
          <w:szCs w:val="21"/>
          <w:lang w:val="sv-SE"/>
        </w:rPr>
      </w:pPr>
      <w:r w:rsidRPr="00BE7EA6">
        <w:rPr>
          <w:rFonts w:ascii="Constantia" w:hAnsi="Constantia"/>
          <w:sz w:val="21"/>
          <w:szCs w:val="21"/>
          <w:lang w:val="sv-SE"/>
        </w:rP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29B90B83" w14:textId="77777777" w:rsidR="0008023B" w:rsidRPr="00B4441E" w:rsidRDefault="00D12D46" w:rsidP="0008023B">
      <w:pPr>
        <w:keepNext/>
        <w:rPr>
          <w:rFonts w:ascii="Constantia" w:hAnsi="Constantia"/>
          <w:i/>
          <w:sz w:val="21"/>
          <w:szCs w:val="21"/>
          <w:lang w:val="en-US"/>
        </w:rPr>
      </w:pPr>
      <w:r w:rsidRPr="00B4441E">
        <w:rPr>
          <w:rFonts w:ascii="Constantia" w:hAnsi="Constantia"/>
          <w:i/>
          <w:sz w:val="21"/>
          <w:szCs w:val="21"/>
          <w:lang w:val="en-US"/>
        </w:rPr>
        <w:t>In the case of a new issue with pre-emption rights for the shareholders to subscribe for new Shares in exchange for cash payment or payment by way of set-off, the following shall apply with respect to the right to participate in the new issue by virtue of Shares which have vested as a consequence of Subscription through the exercise of Warrants:</w:t>
      </w:r>
    </w:p>
    <w:p w14:paraId="3AFB7449" w14:textId="77777777" w:rsidR="0008023B" w:rsidRPr="00BE7EA6" w:rsidRDefault="0008023B" w:rsidP="0008023B">
      <w:pPr>
        <w:pStyle w:val="ListParagraph"/>
        <w:numPr>
          <w:ilvl w:val="0"/>
          <w:numId w:val="43"/>
        </w:numPr>
        <w:rPr>
          <w:rFonts w:ascii="Constantia" w:hAnsi="Constantia"/>
          <w:sz w:val="21"/>
          <w:szCs w:val="21"/>
          <w:lang w:val="sv-SE"/>
        </w:rPr>
      </w:pPr>
      <w:r w:rsidRPr="00BE7EA6">
        <w:rPr>
          <w:rFonts w:ascii="Constantia" w:hAnsi="Constantia"/>
          <w:sz w:val="21"/>
          <w:szCs w:val="21"/>
          <w:lang w:val="sv-SE"/>
        </w:rPr>
        <w:t>Beslutas emissionen av Bolagets styrelse under förutsättning av bolagsstämmans godkännande eller med stöd av bolagsstämmans bemyndigande, ska i emissionsbeslutet, anges den senaste dag då Teckning ska vara verkställd för att Aktie, som tillkommit genom Teckning, ska medföra rätt att delta i emissionen.</w:t>
      </w:r>
    </w:p>
    <w:p w14:paraId="5BA8EA3C" w14:textId="489815D1" w:rsidR="0008023B" w:rsidRPr="00B4441E" w:rsidRDefault="0008023B" w:rsidP="0008023B">
      <w:pPr>
        <w:pStyle w:val="ListParagraph"/>
        <w:rPr>
          <w:rFonts w:ascii="Constantia" w:hAnsi="Constantia"/>
          <w:i/>
          <w:sz w:val="21"/>
          <w:szCs w:val="21"/>
          <w:highlight w:val="cyan"/>
          <w:lang w:val="en-US"/>
        </w:rPr>
      </w:pPr>
      <w:r w:rsidRPr="00B4441E">
        <w:rPr>
          <w:rFonts w:ascii="Constantia" w:hAnsi="Constantia"/>
          <w:i/>
          <w:sz w:val="21"/>
          <w:szCs w:val="21"/>
          <w:lang w:val="en-US"/>
        </w:rPr>
        <w:t xml:space="preserve">Where the board of directors resolves to carry out the </w:t>
      </w:r>
      <w:r w:rsidR="001950E2" w:rsidRPr="00B4441E">
        <w:rPr>
          <w:rFonts w:ascii="Constantia" w:hAnsi="Constantia"/>
          <w:i/>
          <w:sz w:val="21"/>
          <w:szCs w:val="21"/>
          <w:lang w:val="en-US"/>
        </w:rPr>
        <w:t>S</w:t>
      </w:r>
      <w:r w:rsidRPr="00B4441E">
        <w:rPr>
          <w:rFonts w:ascii="Constantia" w:hAnsi="Constantia"/>
          <w:i/>
          <w:sz w:val="21"/>
          <w:szCs w:val="21"/>
          <w:lang w:val="en-US"/>
        </w:rPr>
        <w:t xml:space="preserve">hare issue contingent upon the approval of or pursuant to </w:t>
      </w:r>
      <w:r w:rsidR="00C23ED1" w:rsidRPr="00B4441E">
        <w:rPr>
          <w:rFonts w:ascii="Constantia" w:hAnsi="Constantia"/>
          <w:i/>
          <w:sz w:val="21"/>
          <w:szCs w:val="21"/>
          <w:lang w:val="en-US"/>
        </w:rPr>
        <w:t>authorization</w:t>
      </w:r>
      <w:r w:rsidRPr="00B4441E">
        <w:rPr>
          <w:rFonts w:ascii="Constantia" w:hAnsi="Constantia"/>
          <w:i/>
          <w:sz w:val="21"/>
          <w:szCs w:val="21"/>
          <w:lang w:val="en-US"/>
        </w:rPr>
        <w:t xml:space="preserve"> by the shareholders’ meeting, the resolution of the </w:t>
      </w:r>
      <w:r w:rsidR="001950E2" w:rsidRPr="00B4441E">
        <w:rPr>
          <w:rFonts w:ascii="Constantia" w:hAnsi="Constantia"/>
          <w:i/>
          <w:sz w:val="21"/>
          <w:szCs w:val="21"/>
          <w:lang w:val="en-US"/>
        </w:rPr>
        <w:t>S</w:t>
      </w:r>
      <w:r w:rsidRPr="00B4441E">
        <w:rPr>
          <w:rFonts w:ascii="Constantia" w:hAnsi="Constantia"/>
          <w:i/>
          <w:sz w:val="21"/>
          <w:szCs w:val="21"/>
          <w:lang w:val="en-US"/>
        </w:rPr>
        <w:t>hare issue shall set forth the last date on which Shares issued pursuant to Subscription entitle the Warrant Holders to participate in the issue.</w:t>
      </w:r>
    </w:p>
    <w:p w14:paraId="7A2EF834" w14:textId="77777777" w:rsidR="0008023B" w:rsidRPr="00BE7EA6" w:rsidRDefault="0008023B" w:rsidP="0008023B">
      <w:pPr>
        <w:pStyle w:val="ListParagraph"/>
        <w:numPr>
          <w:ilvl w:val="0"/>
          <w:numId w:val="43"/>
        </w:numPr>
        <w:rPr>
          <w:rFonts w:ascii="Constantia" w:hAnsi="Constantia"/>
          <w:sz w:val="21"/>
          <w:szCs w:val="21"/>
          <w:lang w:val="sv-SE"/>
        </w:rPr>
      </w:pPr>
      <w:r w:rsidRPr="00BE7EA6">
        <w:rPr>
          <w:rFonts w:ascii="Constantia" w:hAnsi="Constantia"/>
          <w:sz w:val="21"/>
          <w:szCs w:val="21"/>
          <w:lang w:val="sv-SE"/>
        </w:rP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76F4DF1E" w14:textId="77777777" w:rsidR="0008023B" w:rsidRPr="00B4441E" w:rsidRDefault="0008023B" w:rsidP="0008023B">
      <w:pPr>
        <w:pStyle w:val="ListParagraph"/>
        <w:rPr>
          <w:rFonts w:ascii="Constantia" w:hAnsi="Constantia"/>
          <w:i/>
          <w:sz w:val="21"/>
          <w:szCs w:val="21"/>
          <w:highlight w:val="cyan"/>
          <w:lang w:val="en-US"/>
        </w:rPr>
      </w:pPr>
      <w:r w:rsidRPr="00B4441E">
        <w:rPr>
          <w:rFonts w:ascii="Constantia" w:hAnsi="Constantia"/>
          <w:i/>
          <w:sz w:val="21"/>
          <w:szCs w:val="21"/>
          <w:lang w:val="en-US"/>
        </w:rPr>
        <w:t xml:space="preserve">Where the shareholders meeting resolves to carry out the issue, Subscription shall be effected, where application for Subscription is made at such time that it cannot be effected on or before the third week day prior to the shareholders’ meeting which resolves to carry out the </w:t>
      </w:r>
      <w:r w:rsidR="001950E2" w:rsidRPr="00B4441E">
        <w:rPr>
          <w:rFonts w:ascii="Constantia" w:hAnsi="Constantia"/>
          <w:i/>
          <w:sz w:val="21"/>
          <w:szCs w:val="21"/>
          <w:lang w:val="en-US"/>
        </w:rPr>
        <w:t>S</w:t>
      </w:r>
      <w:r w:rsidRPr="00B4441E">
        <w:rPr>
          <w:rFonts w:ascii="Constantia" w:hAnsi="Constantia"/>
          <w:i/>
          <w:sz w:val="21"/>
          <w:szCs w:val="21"/>
          <w:lang w:val="en-US"/>
        </w:rPr>
        <w:t xml:space="preserve">hare issue, after the resolution on the </w:t>
      </w:r>
      <w:r w:rsidR="001950E2" w:rsidRPr="00B4441E">
        <w:rPr>
          <w:rFonts w:ascii="Constantia" w:hAnsi="Constantia"/>
          <w:i/>
          <w:sz w:val="21"/>
          <w:szCs w:val="21"/>
          <w:lang w:val="en-US"/>
        </w:rPr>
        <w:t>S</w:t>
      </w:r>
      <w:r w:rsidRPr="00B4441E">
        <w:rPr>
          <w:rFonts w:ascii="Constantia" w:hAnsi="Constantia"/>
          <w:i/>
          <w:sz w:val="21"/>
          <w:szCs w:val="21"/>
          <w:lang w:val="en-US"/>
        </w:rPr>
        <w:t xml:space="preserve">hare issue by the shareholders’ meeting. Shares which are issued based on Subscription effected after the decision of </w:t>
      </w:r>
      <w:r w:rsidR="001950E2" w:rsidRPr="00B4441E">
        <w:rPr>
          <w:rFonts w:ascii="Constantia" w:hAnsi="Constantia"/>
          <w:i/>
          <w:sz w:val="21"/>
          <w:szCs w:val="21"/>
          <w:lang w:val="en-US"/>
        </w:rPr>
        <w:t>S</w:t>
      </w:r>
      <w:r w:rsidRPr="00B4441E">
        <w:rPr>
          <w:rFonts w:ascii="Constantia" w:hAnsi="Constantia"/>
          <w:i/>
          <w:sz w:val="21"/>
          <w:szCs w:val="21"/>
          <w:lang w:val="en-US"/>
        </w:rPr>
        <w:t xml:space="preserve">hare issue shall be recorded on an interim basis in a VP Account which means that the holders of such Shares are not entitled to participate in the issue. Only after the record date of the </w:t>
      </w:r>
      <w:r w:rsidR="001950E2" w:rsidRPr="00B4441E">
        <w:rPr>
          <w:rFonts w:ascii="Constantia" w:hAnsi="Constantia"/>
          <w:i/>
          <w:sz w:val="21"/>
          <w:szCs w:val="21"/>
          <w:lang w:val="en-US"/>
        </w:rPr>
        <w:t>S</w:t>
      </w:r>
      <w:r w:rsidRPr="00B4441E">
        <w:rPr>
          <w:rFonts w:ascii="Constantia" w:hAnsi="Constantia"/>
          <w:i/>
          <w:sz w:val="21"/>
          <w:szCs w:val="21"/>
          <w:lang w:val="en-US"/>
        </w:rPr>
        <w:t>hare issue the registration in the VP Account will become final.</w:t>
      </w:r>
    </w:p>
    <w:p w14:paraId="2B208865" w14:textId="77777777" w:rsidR="0008023B" w:rsidRPr="00BE7EA6" w:rsidRDefault="0008023B" w:rsidP="0008023B">
      <w:pPr>
        <w:rPr>
          <w:rFonts w:ascii="Constantia" w:hAnsi="Constantia"/>
          <w:sz w:val="21"/>
          <w:szCs w:val="21"/>
        </w:rPr>
      </w:pPr>
      <w:r w:rsidRPr="00BE7EA6">
        <w:rPr>
          <w:rFonts w:ascii="Constantia" w:hAnsi="Constantia"/>
          <w:sz w:val="21"/>
          <w:szCs w:val="21"/>
          <w:lang w:val="sv-SE"/>
        </w:rPr>
        <w:t xml:space="preserve">Vid Teckning som verkställts på sådan tid att rätt till deltagande i nyemissionen inte uppkommer tillämpas en omräknad Teckningskurs liksom en omräkning av det antal Aktier som varje Optionsrätt berättigar till Teckning av. </w:t>
      </w:r>
      <w:r w:rsidRPr="00BE7EA6">
        <w:rPr>
          <w:rFonts w:ascii="Constantia" w:hAnsi="Constantia"/>
          <w:sz w:val="21"/>
          <w:szCs w:val="21"/>
        </w:rPr>
        <w:t>Omräkningen utförs av Bolaget enligt följande formel:</w:t>
      </w:r>
    </w:p>
    <w:p w14:paraId="1A1D6655" w14:textId="77777777" w:rsidR="0008023B" w:rsidRPr="00B4441E" w:rsidRDefault="00F77EE7" w:rsidP="0008023B">
      <w:pPr>
        <w:rPr>
          <w:rFonts w:ascii="Constantia" w:hAnsi="Constantia"/>
          <w:i/>
          <w:sz w:val="21"/>
          <w:szCs w:val="21"/>
          <w:lang w:val="en-US"/>
        </w:rPr>
      </w:pPr>
      <w:r w:rsidRPr="00B4441E">
        <w:rPr>
          <w:rFonts w:ascii="Constantia" w:hAnsi="Constantia"/>
          <w:i/>
          <w:sz w:val="21"/>
          <w:szCs w:val="21"/>
          <w:lang w:val="en-US"/>
        </w:rPr>
        <w:t>In the event of Subscription which is effected at such time that a right to participate in the new issue does not vest, a recalculated Subscription Price shall be applied, as well as a recalculation of the number of Shares to which each Warrant provides an entitlement to Subscribe. The recalculations shall be made by the Company based on the following formula:</w:t>
      </w:r>
    </w:p>
    <w:p w14:paraId="74EB83F9"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34B2968F" w14:textId="77777777" w:rsidTr="00F022E8">
        <w:tc>
          <w:tcPr>
            <w:tcW w:w="2547" w:type="dxa"/>
            <w:vAlign w:val="center"/>
          </w:tcPr>
          <w:p w14:paraId="0A32D109" w14:textId="77777777" w:rsidR="0008023B" w:rsidRPr="00BE7EA6" w:rsidRDefault="0008023B" w:rsidP="00F022E8">
            <w:pPr>
              <w:jc w:val="left"/>
              <w:rPr>
                <w:rFonts w:ascii="Constantia" w:hAnsi="Constantia"/>
                <w:sz w:val="21"/>
                <w:szCs w:val="21"/>
              </w:rPr>
            </w:pPr>
          </w:p>
        </w:tc>
        <w:tc>
          <w:tcPr>
            <w:tcW w:w="709" w:type="dxa"/>
            <w:vAlign w:val="center"/>
          </w:tcPr>
          <w:p w14:paraId="5A89F732"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79DD2A74"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Teckningskurs x Aktiens genomsnittliga betalkurs under den i emissionsbeslutet fastställda teckningstiden (Aktiens genomsnittskurs) / </w:t>
            </w:r>
            <w:r w:rsidR="00535A61" w:rsidRPr="00BE7EA6">
              <w:rPr>
                <w:rFonts w:ascii="Constantia" w:hAnsi="Constantia"/>
                <w:sz w:val="21"/>
                <w:szCs w:val="21"/>
              </w:rPr>
              <w:t>previous</w:t>
            </w:r>
            <w:r w:rsidRPr="00BE7EA6">
              <w:rPr>
                <w:rFonts w:ascii="Constantia" w:hAnsi="Constantia"/>
                <w:i/>
                <w:sz w:val="21"/>
                <w:szCs w:val="21"/>
              </w:rPr>
              <w:t xml:space="preserve"> </w:t>
            </w:r>
            <w:r w:rsidRPr="00B4441E">
              <w:rPr>
                <w:rFonts w:ascii="Constantia" w:hAnsi="Constantia"/>
                <w:i/>
                <w:sz w:val="21"/>
                <w:szCs w:val="21"/>
                <w:lang w:val="en-US"/>
              </w:rPr>
              <w:t xml:space="preserve">Subscription Price x the average </w:t>
            </w:r>
            <w:r w:rsidR="00B22ABA" w:rsidRPr="00B4441E">
              <w:rPr>
                <w:rFonts w:ascii="Constantia" w:hAnsi="Constantia"/>
                <w:i/>
                <w:sz w:val="21"/>
                <w:szCs w:val="21"/>
                <w:lang w:val="en-US"/>
              </w:rPr>
              <w:t>S</w:t>
            </w:r>
            <w:r w:rsidRPr="00B4441E">
              <w:rPr>
                <w:rFonts w:ascii="Constantia" w:hAnsi="Constantia"/>
                <w:i/>
                <w:sz w:val="21"/>
                <w:szCs w:val="21"/>
                <w:lang w:val="en-US"/>
              </w:rPr>
              <w:t>hare price of the Share during the Subscription period set forth in the issue resolution (average price of Share)</w:t>
            </w:r>
          </w:p>
        </w:tc>
      </w:tr>
      <w:tr w:rsidR="0008023B" w:rsidRPr="00BE7EA6" w14:paraId="3CFD66DA" w14:textId="77777777" w:rsidTr="00F022E8">
        <w:trPr>
          <w:trHeight w:val="409"/>
        </w:trPr>
        <w:tc>
          <w:tcPr>
            <w:tcW w:w="2547" w:type="dxa"/>
            <w:vMerge w:val="restart"/>
            <w:vAlign w:val="center"/>
          </w:tcPr>
          <w:p w14:paraId="4246AD83"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omräknad Teckningskurs / </w:t>
            </w:r>
            <w:r w:rsidRPr="00BE7EA6">
              <w:rPr>
                <w:rFonts w:ascii="Constantia" w:hAnsi="Constantia"/>
                <w:i/>
                <w:sz w:val="21"/>
                <w:szCs w:val="21"/>
              </w:rPr>
              <w:t>recalculated Subscription Price</w:t>
            </w:r>
          </w:p>
        </w:tc>
        <w:tc>
          <w:tcPr>
            <w:tcW w:w="709" w:type="dxa"/>
            <w:vMerge w:val="restart"/>
            <w:vAlign w:val="center"/>
          </w:tcPr>
          <w:p w14:paraId="2C7B51F5"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1203F5E7" w14:textId="77777777" w:rsidR="0008023B" w:rsidRPr="00BE7EA6" w:rsidRDefault="0008023B" w:rsidP="00F022E8">
            <w:pPr>
              <w:jc w:val="left"/>
              <w:rPr>
                <w:rFonts w:ascii="Constantia" w:hAnsi="Constantia"/>
                <w:sz w:val="21"/>
                <w:szCs w:val="21"/>
                <w:lang w:val="sv-SE"/>
              </w:rPr>
            </w:pPr>
          </w:p>
        </w:tc>
      </w:tr>
      <w:tr w:rsidR="0008023B" w:rsidRPr="00BE7EA6" w14:paraId="5FF0E1E4" w14:textId="77777777" w:rsidTr="00F022E8">
        <w:trPr>
          <w:trHeight w:val="509"/>
        </w:trPr>
        <w:tc>
          <w:tcPr>
            <w:tcW w:w="2547" w:type="dxa"/>
            <w:vMerge/>
            <w:vAlign w:val="center"/>
          </w:tcPr>
          <w:p w14:paraId="605F7B0E"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4A00BB53"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191F46EE"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Aktiens genomsnittskurs ökad med det på grundval därav framräknade teoretiska värdet på teckningsrätten / </w:t>
            </w:r>
            <w:r w:rsidRPr="00B4441E">
              <w:rPr>
                <w:rFonts w:ascii="Constantia" w:hAnsi="Constantia"/>
                <w:i/>
                <w:sz w:val="21"/>
                <w:szCs w:val="21"/>
                <w:lang w:val="en-US"/>
              </w:rPr>
              <w:t>the average price of Share increased by the theoretical value of the subscription right calculated on the basis thereof</w:t>
            </w:r>
          </w:p>
        </w:tc>
      </w:tr>
      <w:tr w:rsidR="0008023B" w:rsidRPr="00BE7EA6" w14:paraId="620EDCD3" w14:textId="77777777" w:rsidTr="00F022E8">
        <w:tc>
          <w:tcPr>
            <w:tcW w:w="2547" w:type="dxa"/>
            <w:vAlign w:val="center"/>
          </w:tcPr>
          <w:p w14:paraId="3716C1F8" w14:textId="77777777" w:rsidR="0008023B" w:rsidRPr="00BE7EA6" w:rsidRDefault="0008023B" w:rsidP="00F022E8">
            <w:pPr>
              <w:jc w:val="left"/>
              <w:rPr>
                <w:rFonts w:ascii="Constantia" w:hAnsi="Constantia"/>
                <w:sz w:val="21"/>
                <w:szCs w:val="21"/>
              </w:rPr>
            </w:pPr>
          </w:p>
        </w:tc>
        <w:tc>
          <w:tcPr>
            <w:tcW w:w="709" w:type="dxa"/>
            <w:vAlign w:val="center"/>
          </w:tcPr>
          <w:p w14:paraId="7F1C0E46" w14:textId="77777777" w:rsidR="0008023B" w:rsidRPr="00BE7EA6" w:rsidRDefault="0008023B" w:rsidP="00F022E8">
            <w:pPr>
              <w:jc w:val="left"/>
              <w:rPr>
                <w:rFonts w:ascii="Constantia" w:hAnsi="Constantia"/>
                <w:sz w:val="21"/>
                <w:szCs w:val="21"/>
              </w:rPr>
            </w:pPr>
          </w:p>
        </w:tc>
        <w:tc>
          <w:tcPr>
            <w:tcW w:w="5804" w:type="dxa"/>
            <w:vMerge/>
            <w:vAlign w:val="center"/>
          </w:tcPr>
          <w:p w14:paraId="725C82B2" w14:textId="77777777" w:rsidR="0008023B" w:rsidRPr="00BE7EA6" w:rsidRDefault="0008023B" w:rsidP="00F022E8">
            <w:pPr>
              <w:jc w:val="left"/>
              <w:rPr>
                <w:rFonts w:ascii="Constantia" w:hAnsi="Constantia"/>
                <w:sz w:val="21"/>
                <w:szCs w:val="21"/>
              </w:rPr>
            </w:pPr>
          </w:p>
        </w:tc>
      </w:tr>
    </w:tbl>
    <w:p w14:paraId="6F3A75B9" w14:textId="77777777" w:rsidR="0008023B" w:rsidRPr="00BE7EA6" w:rsidRDefault="0008023B" w:rsidP="0008023B">
      <w:pPr>
        <w:rPr>
          <w:rFonts w:ascii="Constantia" w:hAnsi="Constantia"/>
          <w:sz w:val="21"/>
          <w:szCs w:val="21"/>
        </w:rPr>
      </w:pPr>
    </w:p>
    <w:p w14:paraId="30C329B4"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0FBBA223" w14:textId="77777777" w:rsidTr="00F022E8">
        <w:tc>
          <w:tcPr>
            <w:tcW w:w="2547" w:type="dxa"/>
            <w:vAlign w:val="center"/>
          </w:tcPr>
          <w:p w14:paraId="4A239CA8" w14:textId="77777777" w:rsidR="0008023B" w:rsidRPr="00BE7EA6" w:rsidRDefault="0008023B" w:rsidP="00F022E8">
            <w:pPr>
              <w:jc w:val="left"/>
              <w:rPr>
                <w:rFonts w:ascii="Constantia" w:hAnsi="Constantia"/>
                <w:sz w:val="21"/>
                <w:szCs w:val="21"/>
              </w:rPr>
            </w:pPr>
          </w:p>
        </w:tc>
        <w:tc>
          <w:tcPr>
            <w:tcW w:w="709" w:type="dxa"/>
            <w:vAlign w:val="center"/>
          </w:tcPr>
          <w:p w14:paraId="533DB0B2"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00B08A70"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antal Aktier, som varje Optionsrätt ger rätt att teckna x Aktiens genomsnittskurs ökad med det på grundval därav framräknade teoretiska värdet på teckningsrätten / </w:t>
            </w:r>
            <w:r w:rsidR="00D87076" w:rsidRPr="00BE7EA6">
              <w:rPr>
                <w:rFonts w:ascii="Constantia" w:hAnsi="Constantia"/>
                <w:i/>
                <w:sz w:val="21"/>
                <w:szCs w:val="21"/>
              </w:rPr>
              <w:t xml:space="preserve">the previous number of Shares that each Warrant provides an entitlement to </w:t>
            </w:r>
            <w:r w:rsidR="00366460" w:rsidRPr="00BE7EA6">
              <w:rPr>
                <w:rFonts w:ascii="Constantia" w:hAnsi="Constantia"/>
                <w:i/>
                <w:sz w:val="21"/>
                <w:szCs w:val="21"/>
              </w:rPr>
              <w:t>s</w:t>
            </w:r>
            <w:r w:rsidR="00D87076" w:rsidRPr="00BE7EA6">
              <w:rPr>
                <w:rFonts w:ascii="Constantia" w:hAnsi="Constantia"/>
                <w:i/>
                <w:sz w:val="21"/>
                <w:szCs w:val="21"/>
              </w:rPr>
              <w:t>ubscribe x the average price of Share increased by the theoretical value of the subscription right calculated on the basis thereof</w:t>
            </w:r>
          </w:p>
        </w:tc>
      </w:tr>
      <w:tr w:rsidR="0008023B" w:rsidRPr="00BE7EA6" w14:paraId="3DE869CC" w14:textId="77777777" w:rsidTr="00F022E8">
        <w:trPr>
          <w:trHeight w:val="409"/>
        </w:trPr>
        <w:tc>
          <w:tcPr>
            <w:tcW w:w="2547" w:type="dxa"/>
            <w:vMerge w:val="restart"/>
            <w:vAlign w:val="center"/>
          </w:tcPr>
          <w:p w14:paraId="2C47DC14"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omräknat antal Aktier som varje Optionsrätt ger rätt att teckna / r</w:t>
            </w:r>
            <w:r w:rsidRPr="00BE7EA6">
              <w:rPr>
                <w:rFonts w:ascii="Constantia" w:hAnsi="Constantia"/>
                <w:i/>
                <w:sz w:val="21"/>
                <w:szCs w:val="21"/>
              </w:rPr>
              <w:t xml:space="preserve">ecalculated number of Shares that each Warrant entitles to </w:t>
            </w:r>
            <w:r w:rsidR="00366460" w:rsidRPr="00BE7EA6">
              <w:rPr>
                <w:rFonts w:ascii="Constantia" w:hAnsi="Constantia"/>
                <w:i/>
                <w:sz w:val="21"/>
                <w:szCs w:val="21"/>
              </w:rPr>
              <w:t>s</w:t>
            </w:r>
            <w:r w:rsidRPr="00BE7EA6">
              <w:rPr>
                <w:rFonts w:ascii="Constantia" w:hAnsi="Constantia"/>
                <w:i/>
                <w:sz w:val="21"/>
                <w:szCs w:val="21"/>
              </w:rPr>
              <w:t>ubscribe for</w:t>
            </w:r>
          </w:p>
        </w:tc>
        <w:tc>
          <w:tcPr>
            <w:tcW w:w="709" w:type="dxa"/>
            <w:vMerge w:val="restart"/>
            <w:vAlign w:val="center"/>
          </w:tcPr>
          <w:p w14:paraId="5BD2B58E"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3D8BF951" w14:textId="77777777" w:rsidR="0008023B" w:rsidRPr="00BE7EA6" w:rsidRDefault="0008023B" w:rsidP="00F022E8">
            <w:pPr>
              <w:jc w:val="left"/>
              <w:rPr>
                <w:rFonts w:ascii="Constantia" w:hAnsi="Constantia"/>
                <w:sz w:val="21"/>
                <w:szCs w:val="21"/>
                <w:lang w:val="sv-SE"/>
              </w:rPr>
            </w:pPr>
          </w:p>
        </w:tc>
      </w:tr>
      <w:tr w:rsidR="0008023B" w:rsidRPr="00BE7EA6" w14:paraId="0E93E398" w14:textId="77777777" w:rsidTr="00F022E8">
        <w:trPr>
          <w:trHeight w:val="509"/>
        </w:trPr>
        <w:tc>
          <w:tcPr>
            <w:tcW w:w="2547" w:type="dxa"/>
            <w:vMerge/>
            <w:vAlign w:val="center"/>
          </w:tcPr>
          <w:p w14:paraId="182F9AFE"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7559BA9E" w14:textId="77777777" w:rsidR="0008023B" w:rsidRPr="00BE7EA6" w:rsidRDefault="0008023B" w:rsidP="00F022E8">
            <w:pPr>
              <w:jc w:val="left"/>
              <w:rPr>
                <w:rFonts w:ascii="Constantia" w:hAnsi="Constantia"/>
                <w:sz w:val="21"/>
                <w:szCs w:val="21"/>
                <w:lang w:val="sv-SE"/>
              </w:rPr>
            </w:pPr>
          </w:p>
        </w:tc>
        <w:tc>
          <w:tcPr>
            <w:tcW w:w="5804" w:type="dxa"/>
            <w:tcBorders>
              <w:top w:val="single" w:sz="4" w:space="0" w:color="auto"/>
            </w:tcBorders>
            <w:vAlign w:val="center"/>
          </w:tcPr>
          <w:p w14:paraId="0E593005"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Aktiens genomsnittskurs / </w:t>
            </w:r>
            <w:r w:rsidRPr="00BE7EA6">
              <w:rPr>
                <w:rFonts w:ascii="Constantia" w:hAnsi="Constantia"/>
                <w:i/>
                <w:sz w:val="21"/>
                <w:szCs w:val="21"/>
              </w:rPr>
              <w:t>the average price of Share</w:t>
            </w:r>
          </w:p>
        </w:tc>
      </w:tr>
    </w:tbl>
    <w:p w14:paraId="5A8F0566" w14:textId="77777777" w:rsidR="0008023B" w:rsidRPr="00BE7EA6" w:rsidRDefault="0008023B" w:rsidP="0008023B">
      <w:pPr>
        <w:rPr>
          <w:rFonts w:ascii="Constantia" w:hAnsi="Constantia"/>
          <w:sz w:val="21"/>
          <w:szCs w:val="21"/>
        </w:rPr>
      </w:pPr>
    </w:p>
    <w:p w14:paraId="3BCF0953"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 </w:t>
      </w:r>
    </w:p>
    <w:p w14:paraId="10A584E1" w14:textId="77777777" w:rsidR="0008023B" w:rsidRPr="00B4441E" w:rsidRDefault="00D840E4" w:rsidP="0008023B">
      <w:pPr>
        <w:rPr>
          <w:rFonts w:ascii="Constantia" w:hAnsi="Constantia"/>
          <w:i/>
          <w:sz w:val="21"/>
          <w:szCs w:val="21"/>
          <w:lang w:val="en-US"/>
        </w:rPr>
      </w:pPr>
      <w:r w:rsidRPr="00B4441E">
        <w:rPr>
          <w:rFonts w:ascii="Constantia" w:hAnsi="Constantia"/>
          <w:i/>
          <w:sz w:val="21"/>
          <w:szCs w:val="21"/>
          <w:lang w:val="en-US"/>
        </w:rPr>
        <w:t>The average price of a Share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38E7696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Det teoretiska värdet på teckningsrätten beräknas enligt följande formel:</w:t>
      </w:r>
    </w:p>
    <w:p w14:paraId="20C38111" w14:textId="77777777" w:rsidR="0008023B" w:rsidRPr="00BE7EA6" w:rsidRDefault="0008023B" w:rsidP="0008023B">
      <w:pPr>
        <w:rPr>
          <w:rFonts w:ascii="Constantia" w:hAnsi="Constantia"/>
          <w:i/>
          <w:sz w:val="21"/>
          <w:szCs w:val="21"/>
        </w:rPr>
      </w:pPr>
      <w:r w:rsidRPr="00BE7EA6">
        <w:rPr>
          <w:rFonts w:ascii="Constantia" w:hAnsi="Constantia"/>
          <w:i/>
          <w:sz w:val="21"/>
          <w:szCs w:val="21"/>
        </w:rPr>
        <w:t>The theoretical value of the subscription right shall be calculated according to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1A310A34" w14:textId="77777777" w:rsidTr="00F022E8">
        <w:tc>
          <w:tcPr>
            <w:tcW w:w="2547" w:type="dxa"/>
            <w:vAlign w:val="center"/>
          </w:tcPr>
          <w:p w14:paraId="073B2B31" w14:textId="77777777" w:rsidR="0008023B" w:rsidRPr="00BE7EA6" w:rsidRDefault="0008023B" w:rsidP="00F022E8">
            <w:pPr>
              <w:jc w:val="left"/>
              <w:rPr>
                <w:rFonts w:ascii="Constantia" w:hAnsi="Constantia"/>
                <w:sz w:val="21"/>
                <w:szCs w:val="21"/>
              </w:rPr>
            </w:pPr>
          </w:p>
        </w:tc>
        <w:tc>
          <w:tcPr>
            <w:tcW w:w="709" w:type="dxa"/>
            <w:vAlign w:val="center"/>
          </w:tcPr>
          <w:p w14:paraId="03F4AB41"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5C5A95C8"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det antal nya Aktier som högst kan komma att utges enligt emissionsbeslutet x Aktiens genomsnittskurs minus teckningskursen för den nya Aktien / </w:t>
            </w:r>
            <w:r w:rsidR="00E901E7" w:rsidRPr="00BE7EA6">
              <w:rPr>
                <w:rFonts w:ascii="Constantia" w:hAnsi="Constantia"/>
                <w:i/>
                <w:sz w:val="21"/>
                <w:szCs w:val="21"/>
              </w:rPr>
              <w:t>t</w:t>
            </w:r>
            <w:r w:rsidRPr="00BE7EA6">
              <w:rPr>
                <w:rFonts w:ascii="Constantia" w:hAnsi="Constantia"/>
                <w:i/>
                <w:sz w:val="21"/>
                <w:szCs w:val="21"/>
              </w:rPr>
              <w:t xml:space="preserve">he maximum number of new Shares which may be issued pursuant to the issue resolution x the average price of </w:t>
            </w:r>
            <w:r w:rsidR="0065218A" w:rsidRPr="00BE7EA6">
              <w:rPr>
                <w:rFonts w:ascii="Constantia" w:hAnsi="Constantia"/>
                <w:i/>
                <w:sz w:val="21"/>
                <w:szCs w:val="21"/>
              </w:rPr>
              <w:t>S</w:t>
            </w:r>
            <w:r w:rsidRPr="00BE7EA6">
              <w:rPr>
                <w:rFonts w:ascii="Constantia" w:hAnsi="Constantia"/>
                <w:i/>
                <w:sz w:val="21"/>
                <w:szCs w:val="21"/>
              </w:rPr>
              <w:t>hare minus the Subscription Price for the new Share</w:t>
            </w:r>
          </w:p>
        </w:tc>
      </w:tr>
      <w:tr w:rsidR="0008023B" w:rsidRPr="00BE7EA6" w14:paraId="24021B30" w14:textId="77777777" w:rsidTr="00F022E8">
        <w:trPr>
          <w:trHeight w:val="409"/>
        </w:trPr>
        <w:tc>
          <w:tcPr>
            <w:tcW w:w="2547" w:type="dxa"/>
            <w:vMerge w:val="restart"/>
            <w:vAlign w:val="center"/>
          </w:tcPr>
          <w:p w14:paraId="6661199F"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teckningsrättens värde / </w:t>
            </w:r>
            <w:r w:rsidRPr="00BE7EA6">
              <w:rPr>
                <w:rFonts w:ascii="Constantia" w:hAnsi="Constantia"/>
                <w:i/>
                <w:sz w:val="21"/>
                <w:szCs w:val="21"/>
              </w:rPr>
              <w:t>the value of a subscription right</w:t>
            </w:r>
          </w:p>
        </w:tc>
        <w:tc>
          <w:tcPr>
            <w:tcW w:w="709" w:type="dxa"/>
            <w:vMerge w:val="restart"/>
            <w:vAlign w:val="center"/>
          </w:tcPr>
          <w:p w14:paraId="3620D376"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245D2285" w14:textId="77777777" w:rsidR="0008023B" w:rsidRPr="00BE7EA6" w:rsidRDefault="0008023B" w:rsidP="00F022E8">
            <w:pPr>
              <w:jc w:val="left"/>
              <w:rPr>
                <w:rFonts w:ascii="Constantia" w:hAnsi="Constantia"/>
                <w:sz w:val="21"/>
                <w:szCs w:val="21"/>
                <w:lang w:val="sv-SE"/>
              </w:rPr>
            </w:pPr>
          </w:p>
        </w:tc>
      </w:tr>
      <w:tr w:rsidR="0008023B" w:rsidRPr="00BE7EA6" w14:paraId="12620C0A" w14:textId="77777777" w:rsidTr="00F022E8">
        <w:trPr>
          <w:trHeight w:val="509"/>
        </w:trPr>
        <w:tc>
          <w:tcPr>
            <w:tcW w:w="2547" w:type="dxa"/>
            <w:vMerge/>
            <w:vAlign w:val="center"/>
          </w:tcPr>
          <w:p w14:paraId="7FD9D63A"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62FC6E72"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09260387"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antalet Aktier före emissionsbeslutet / </w:t>
            </w:r>
            <w:r w:rsidRPr="00BE7EA6">
              <w:rPr>
                <w:rFonts w:ascii="Constantia" w:hAnsi="Constantia"/>
                <w:i/>
                <w:sz w:val="21"/>
                <w:szCs w:val="21"/>
              </w:rPr>
              <w:t>the number of Shares prior to the issue resolution</w:t>
            </w:r>
          </w:p>
        </w:tc>
      </w:tr>
      <w:tr w:rsidR="0008023B" w:rsidRPr="00BE7EA6" w14:paraId="3E5C8462" w14:textId="77777777" w:rsidTr="00F022E8">
        <w:tc>
          <w:tcPr>
            <w:tcW w:w="2547" w:type="dxa"/>
            <w:vAlign w:val="center"/>
          </w:tcPr>
          <w:p w14:paraId="5674A5BC" w14:textId="77777777" w:rsidR="0008023B" w:rsidRPr="00BE7EA6" w:rsidRDefault="0008023B" w:rsidP="00F022E8">
            <w:pPr>
              <w:jc w:val="left"/>
              <w:rPr>
                <w:rFonts w:ascii="Constantia" w:hAnsi="Constantia"/>
                <w:sz w:val="21"/>
                <w:szCs w:val="21"/>
              </w:rPr>
            </w:pPr>
          </w:p>
        </w:tc>
        <w:tc>
          <w:tcPr>
            <w:tcW w:w="709" w:type="dxa"/>
            <w:vAlign w:val="center"/>
          </w:tcPr>
          <w:p w14:paraId="54070FC9" w14:textId="77777777" w:rsidR="0008023B" w:rsidRPr="00BE7EA6" w:rsidRDefault="0008023B" w:rsidP="00F022E8">
            <w:pPr>
              <w:jc w:val="left"/>
              <w:rPr>
                <w:rFonts w:ascii="Constantia" w:hAnsi="Constantia"/>
                <w:sz w:val="21"/>
                <w:szCs w:val="21"/>
              </w:rPr>
            </w:pPr>
          </w:p>
        </w:tc>
        <w:tc>
          <w:tcPr>
            <w:tcW w:w="5804" w:type="dxa"/>
            <w:vMerge/>
            <w:vAlign w:val="center"/>
          </w:tcPr>
          <w:p w14:paraId="2DF580D7" w14:textId="77777777" w:rsidR="0008023B" w:rsidRPr="00BE7EA6" w:rsidRDefault="0008023B" w:rsidP="00F022E8">
            <w:pPr>
              <w:jc w:val="left"/>
              <w:rPr>
                <w:rFonts w:ascii="Constantia" w:hAnsi="Constantia"/>
                <w:sz w:val="21"/>
                <w:szCs w:val="21"/>
              </w:rPr>
            </w:pPr>
          </w:p>
        </w:tc>
      </w:tr>
    </w:tbl>
    <w:p w14:paraId="7E4F79FE"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Uppstår härvid ett negativt värde, ska det teoretiska värdet på teckningsrätten bestämmas till noll.</w:t>
      </w:r>
    </w:p>
    <w:p w14:paraId="4A07EFAC" w14:textId="77777777" w:rsidR="0008023B" w:rsidRPr="00B4441E" w:rsidRDefault="00302467" w:rsidP="0008023B">
      <w:pPr>
        <w:rPr>
          <w:rFonts w:ascii="Constantia" w:hAnsi="Constantia"/>
          <w:i/>
          <w:sz w:val="21"/>
          <w:szCs w:val="21"/>
          <w:lang w:val="en-US"/>
        </w:rPr>
      </w:pPr>
      <w:r w:rsidRPr="00B4441E">
        <w:rPr>
          <w:rFonts w:ascii="Constantia" w:hAnsi="Constantia"/>
          <w:i/>
          <w:sz w:val="21"/>
          <w:szCs w:val="21"/>
          <w:lang w:val="en-US"/>
        </w:rPr>
        <w:t>In the event a negative value is thereupon obtained, the theoretical value of the subscription right shall be set at zero.</w:t>
      </w:r>
    </w:p>
    <w:p w14:paraId="2D8270A1"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Enligt ovan omräknad Teckningskurs och omräknat antal Aktier som belöper på varje Optionsrätt ska fastställas av Bolaget två Bankdagar efter teckningstidens utgång och tillämpas vid Teckning som verkställs därefter.</w:t>
      </w:r>
    </w:p>
    <w:p w14:paraId="00278D7C"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The recalculated Subscription Price and the recalculated number of Shares for each Warrant as set forth above shall be determined by the Company two </w:t>
      </w:r>
      <w:r w:rsidR="00BF5340" w:rsidRPr="00B4441E">
        <w:rPr>
          <w:rFonts w:ascii="Constantia" w:hAnsi="Constantia"/>
          <w:i/>
          <w:sz w:val="21"/>
          <w:szCs w:val="21"/>
          <w:lang w:val="en-US"/>
        </w:rPr>
        <w:t>Banking Day</w:t>
      </w:r>
      <w:r w:rsidRPr="00B4441E">
        <w:rPr>
          <w:rFonts w:ascii="Constantia" w:hAnsi="Constantia"/>
          <w:i/>
          <w:sz w:val="21"/>
          <w:szCs w:val="21"/>
          <w:lang w:val="en-US"/>
        </w:rPr>
        <w:t>s after the expiration of the Subscription Period and shall apply to Subscriptions executed thereafter.</w:t>
      </w:r>
    </w:p>
    <w:p w14:paraId="086B7BFB"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1E800CED"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In the event the Company’s shares are not listed or traded on a Market Place, a recalculated Subscription Price and recalculated number of Shares in accordance with this item C shall apply. Instead of what is stated regarding the average </w:t>
      </w:r>
      <w:r w:rsidR="00946DFD" w:rsidRPr="00B4441E">
        <w:rPr>
          <w:rFonts w:ascii="Constantia" w:hAnsi="Constantia"/>
          <w:i/>
          <w:sz w:val="21"/>
          <w:szCs w:val="21"/>
          <w:lang w:val="en-US"/>
        </w:rPr>
        <w:t>price of Share</w:t>
      </w:r>
      <w:r w:rsidRPr="00B4441E">
        <w:rPr>
          <w:rFonts w:ascii="Constantia" w:hAnsi="Constantia"/>
          <w:i/>
          <w:sz w:val="21"/>
          <w:szCs w:val="21"/>
          <w:lang w:val="en-US"/>
        </w:rPr>
        <w:t>, the Share price shall be determined by an independent valuer appointed by the Company.</w:t>
      </w:r>
    </w:p>
    <w:p w14:paraId="317C9F8E"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1501CF69"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VP Account on an interim basis. In addition, it should be noted that the Warrant may entitle the Holder to additional shares pursuant to the recalculated number of Shares according to section 3 above. Final registration in the VP Account shall be effected following the determination of the recalculations. In the event the Company is not a Central Securities Depository Company, Subscription shall be effected through the new Shares being entered in the share register as interim shares. After the recalculations have been determined, the new Shares shall be entered in the share register as Shares.</w:t>
      </w:r>
    </w:p>
    <w:p w14:paraId="017EAF8D" w14:textId="77777777" w:rsidR="0008023B" w:rsidRPr="00BE7EA6" w:rsidRDefault="0008023B" w:rsidP="0008023B">
      <w:pPr>
        <w:rPr>
          <w:rFonts w:ascii="Constantia" w:hAnsi="Constantia"/>
          <w:b/>
          <w:i/>
          <w:sz w:val="21"/>
          <w:szCs w:val="21"/>
        </w:rPr>
      </w:pPr>
      <w:r w:rsidRPr="00BE7EA6">
        <w:rPr>
          <w:rFonts w:ascii="Constantia" w:hAnsi="Constantia"/>
          <w:b/>
          <w:i/>
          <w:sz w:val="21"/>
          <w:szCs w:val="21"/>
        </w:rPr>
        <w:t>D. Emission av konvertibler eller teckningsoptioner / Issue of convertibles or warrants</w:t>
      </w:r>
    </w:p>
    <w:p w14:paraId="7421591F"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3E64F8DB" w14:textId="77777777" w:rsidR="0008023B" w:rsidRPr="00B4441E" w:rsidRDefault="000E60BE" w:rsidP="0008023B">
      <w:pPr>
        <w:rPr>
          <w:rFonts w:ascii="Constantia" w:hAnsi="Constantia"/>
          <w:i/>
          <w:sz w:val="21"/>
          <w:szCs w:val="21"/>
          <w:lang w:val="en-US"/>
        </w:rPr>
      </w:pPr>
      <w:r w:rsidRPr="00B4441E">
        <w:rPr>
          <w:rFonts w:ascii="Constantia" w:hAnsi="Constantia"/>
          <w:i/>
          <w:sz w:val="21"/>
          <w:szCs w:val="21"/>
          <w:lang w:val="en-US"/>
        </w:rPr>
        <w:t>In the event of an issue of convertible debentures or warrants with pre-emption rights for the shareholders and in exchange for cash payment or payment by way of set-off or, with respect to warrants, without payment, the provisions of item C, first paragraph, subparagraphs 1 and 2 regarding the right to participate in a new issue by virtue of Shares which vest through Subscription shall apply mutatis mutandis.</w:t>
      </w:r>
    </w:p>
    <w:p w14:paraId="42ABB742" w14:textId="77777777" w:rsidR="0008023B" w:rsidRPr="00BE7EA6" w:rsidRDefault="0008023B" w:rsidP="0008023B">
      <w:pPr>
        <w:rPr>
          <w:rFonts w:ascii="Constantia" w:hAnsi="Constantia"/>
          <w:sz w:val="21"/>
          <w:szCs w:val="21"/>
        </w:rPr>
      </w:pPr>
      <w:r w:rsidRPr="00BE7EA6">
        <w:rPr>
          <w:rFonts w:ascii="Constantia" w:hAnsi="Constantia"/>
          <w:sz w:val="21"/>
          <w:szCs w:val="21"/>
          <w:lang w:val="sv-SE"/>
        </w:rPr>
        <w:t xml:space="preserve">Vid Teckning som verkställs i sådan tid att rätt till deltagande i emissionen inte uppkommer tillämpas en omräknad Teckningskurs och ett omräknat antal Aktier som belöper på varje Optionsrätt.  </w:t>
      </w:r>
      <w:r w:rsidRPr="00BE7EA6">
        <w:rPr>
          <w:rFonts w:ascii="Constantia" w:hAnsi="Constantia"/>
          <w:sz w:val="21"/>
          <w:szCs w:val="21"/>
        </w:rPr>
        <w:t>Omräkningen utförs av Bolaget enligt följande formel:</w:t>
      </w:r>
    </w:p>
    <w:p w14:paraId="50A246AD" w14:textId="77777777" w:rsidR="0008023B" w:rsidRPr="00B4441E" w:rsidRDefault="00B63EBC" w:rsidP="0008023B">
      <w:pPr>
        <w:rPr>
          <w:rFonts w:ascii="Constantia" w:hAnsi="Constantia"/>
          <w:i/>
          <w:sz w:val="21"/>
          <w:szCs w:val="21"/>
          <w:lang w:val="en-US"/>
        </w:rPr>
      </w:pPr>
      <w:r w:rsidRPr="00B4441E">
        <w:rPr>
          <w:rFonts w:ascii="Constantia" w:hAnsi="Constantia"/>
          <w:i/>
          <w:sz w:val="21"/>
          <w:szCs w:val="21"/>
          <w:lang w:val="en-US"/>
        </w:rPr>
        <w:t xml:space="preserve">In the event of Subscription for Shares which is exercised at such a time that Subscription is effected after adoption of the issue resolution, a recalculated Subscription Price and recalculated number of Shares provided by each Warrant shall be applied. </w:t>
      </w:r>
      <w:r w:rsidR="0008023B" w:rsidRPr="00B4441E">
        <w:rPr>
          <w:rFonts w:ascii="Constantia" w:hAnsi="Constantia"/>
          <w:i/>
          <w:sz w:val="21"/>
          <w:szCs w:val="21"/>
          <w:lang w:val="en-US"/>
        </w:rPr>
        <w:t>The recalculations shall be made according to the following formula:</w:t>
      </w:r>
    </w:p>
    <w:p w14:paraId="7C7E43AB"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02C537F8" w14:textId="77777777" w:rsidTr="00F022E8">
        <w:tc>
          <w:tcPr>
            <w:tcW w:w="2547" w:type="dxa"/>
            <w:vAlign w:val="center"/>
          </w:tcPr>
          <w:p w14:paraId="12F6FBBF" w14:textId="77777777" w:rsidR="0008023B" w:rsidRPr="00BE7EA6" w:rsidRDefault="0008023B" w:rsidP="00F022E8">
            <w:pPr>
              <w:jc w:val="left"/>
              <w:rPr>
                <w:rFonts w:ascii="Constantia" w:hAnsi="Constantia"/>
                <w:sz w:val="21"/>
                <w:szCs w:val="21"/>
              </w:rPr>
            </w:pPr>
          </w:p>
        </w:tc>
        <w:tc>
          <w:tcPr>
            <w:tcW w:w="709" w:type="dxa"/>
            <w:vAlign w:val="center"/>
          </w:tcPr>
          <w:p w14:paraId="28249558"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1E822B56"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Teckningskurs x Aktiens genomsnittliga betalkurs under den i emissionsbeslutet fastställda teckningstiden (Aktiens genomsnittskurs) / </w:t>
            </w:r>
            <w:r w:rsidRPr="00BE7EA6">
              <w:rPr>
                <w:rFonts w:ascii="Constantia" w:hAnsi="Constantia"/>
                <w:i/>
                <w:sz w:val="21"/>
                <w:szCs w:val="21"/>
              </w:rPr>
              <w:t xml:space="preserve">previous Subscription Price x the average Share price of the share during the Subscription Period set forth in the </w:t>
            </w:r>
            <w:r w:rsidRPr="00BE7EA6">
              <w:rPr>
                <w:rFonts w:ascii="Constantia" w:hAnsi="Constantia"/>
                <w:sz w:val="21"/>
                <w:szCs w:val="21"/>
              </w:rPr>
              <w:t>resolution approving the issue (average price of Share)</w:t>
            </w:r>
          </w:p>
        </w:tc>
      </w:tr>
      <w:tr w:rsidR="0008023B" w:rsidRPr="00BE7EA6" w14:paraId="593DE748" w14:textId="77777777" w:rsidTr="00F022E8">
        <w:trPr>
          <w:trHeight w:val="409"/>
        </w:trPr>
        <w:tc>
          <w:tcPr>
            <w:tcW w:w="2547" w:type="dxa"/>
            <w:vMerge w:val="restart"/>
            <w:vAlign w:val="center"/>
          </w:tcPr>
          <w:p w14:paraId="6300E1A2"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omräknad Teckningskurs / </w:t>
            </w:r>
            <w:r w:rsidRPr="00BE7EA6">
              <w:rPr>
                <w:rFonts w:ascii="Constantia" w:hAnsi="Constantia"/>
                <w:i/>
                <w:sz w:val="21"/>
                <w:szCs w:val="21"/>
              </w:rPr>
              <w:t>recalculated Subscription Price</w:t>
            </w:r>
          </w:p>
        </w:tc>
        <w:tc>
          <w:tcPr>
            <w:tcW w:w="709" w:type="dxa"/>
            <w:vMerge w:val="restart"/>
            <w:vAlign w:val="center"/>
          </w:tcPr>
          <w:p w14:paraId="33DCFB11"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3F988548" w14:textId="77777777" w:rsidR="0008023B" w:rsidRPr="00BE7EA6" w:rsidRDefault="0008023B" w:rsidP="00F022E8">
            <w:pPr>
              <w:jc w:val="left"/>
              <w:rPr>
                <w:rFonts w:ascii="Constantia" w:hAnsi="Constantia"/>
                <w:sz w:val="21"/>
                <w:szCs w:val="21"/>
                <w:lang w:val="sv-SE"/>
              </w:rPr>
            </w:pPr>
          </w:p>
        </w:tc>
      </w:tr>
      <w:tr w:rsidR="0008023B" w:rsidRPr="00BE7EA6" w14:paraId="33E1F75B" w14:textId="77777777" w:rsidTr="00F022E8">
        <w:trPr>
          <w:trHeight w:val="509"/>
        </w:trPr>
        <w:tc>
          <w:tcPr>
            <w:tcW w:w="2547" w:type="dxa"/>
            <w:vMerge/>
            <w:vAlign w:val="center"/>
          </w:tcPr>
          <w:p w14:paraId="36DEA3FA"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16457A1A"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0269E77A"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Aktiens genomsnittskurs ökad med teckningsrättens värde / </w:t>
            </w:r>
            <w:r w:rsidRPr="00BE7EA6">
              <w:rPr>
                <w:rFonts w:ascii="Constantia" w:hAnsi="Constantia"/>
                <w:i/>
                <w:sz w:val="21"/>
                <w:szCs w:val="21"/>
              </w:rPr>
              <w:t>the average price of Share increased by the value of the subscription right</w:t>
            </w:r>
          </w:p>
        </w:tc>
      </w:tr>
      <w:tr w:rsidR="0008023B" w:rsidRPr="00BE7EA6" w14:paraId="366B9819" w14:textId="77777777" w:rsidTr="00F022E8">
        <w:tc>
          <w:tcPr>
            <w:tcW w:w="2547" w:type="dxa"/>
            <w:vAlign w:val="center"/>
          </w:tcPr>
          <w:p w14:paraId="7EDB3533" w14:textId="77777777" w:rsidR="0008023B" w:rsidRPr="00BE7EA6" w:rsidRDefault="0008023B" w:rsidP="00F022E8">
            <w:pPr>
              <w:jc w:val="left"/>
              <w:rPr>
                <w:rFonts w:ascii="Constantia" w:hAnsi="Constantia"/>
                <w:sz w:val="21"/>
                <w:szCs w:val="21"/>
              </w:rPr>
            </w:pPr>
          </w:p>
        </w:tc>
        <w:tc>
          <w:tcPr>
            <w:tcW w:w="709" w:type="dxa"/>
            <w:vAlign w:val="center"/>
          </w:tcPr>
          <w:p w14:paraId="3A94DFE3" w14:textId="77777777" w:rsidR="0008023B" w:rsidRPr="00BE7EA6" w:rsidRDefault="0008023B" w:rsidP="00F022E8">
            <w:pPr>
              <w:jc w:val="left"/>
              <w:rPr>
                <w:rFonts w:ascii="Constantia" w:hAnsi="Constantia"/>
                <w:sz w:val="21"/>
                <w:szCs w:val="21"/>
              </w:rPr>
            </w:pPr>
          </w:p>
        </w:tc>
        <w:tc>
          <w:tcPr>
            <w:tcW w:w="5804" w:type="dxa"/>
            <w:vMerge/>
            <w:vAlign w:val="center"/>
          </w:tcPr>
          <w:p w14:paraId="7C5DD2C4" w14:textId="77777777" w:rsidR="0008023B" w:rsidRPr="00BE7EA6" w:rsidRDefault="0008023B" w:rsidP="00F022E8">
            <w:pPr>
              <w:jc w:val="left"/>
              <w:rPr>
                <w:rFonts w:ascii="Constantia" w:hAnsi="Constantia"/>
                <w:sz w:val="21"/>
                <w:szCs w:val="21"/>
              </w:rPr>
            </w:pPr>
          </w:p>
        </w:tc>
      </w:tr>
    </w:tbl>
    <w:p w14:paraId="58B6CA54" w14:textId="77777777" w:rsidR="0008023B" w:rsidRPr="00BE7EA6" w:rsidRDefault="0008023B" w:rsidP="0008023B">
      <w:pPr>
        <w:rPr>
          <w:rFonts w:ascii="Constantia" w:hAnsi="Constantia"/>
          <w:sz w:val="21"/>
          <w:szCs w:val="21"/>
        </w:rPr>
      </w:pPr>
    </w:p>
    <w:p w14:paraId="777CCAC9"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3790199D" w14:textId="77777777" w:rsidTr="00F022E8">
        <w:tc>
          <w:tcPr>
            <w:tcW w:w="2547" w:type="dxa"/>
            <w:vAlign w:val="center"/>
          </w:tcPr>
          <w:p w14:paraId="097C6BCC" w14:textId="77777777" w:rsidR="0008023B" w:rsidRPr="00BE7EA6" w:rsidRDefault="0008023B" w:rsidP="00F022E8">
            <w:pPr>
              <w:jc w:val="left"/>
              <w:rPr>
                <w:rFonts w:ascii="Constantia" w:hAnsi="Constantia"/>
                <w:sz w:val="21"/>
                <w:szCs w:val="21"/>
              </w:rPr>
            </w:pPr>
          </w:p>
        </w:tc>
        <w:tc>
          <w:tcPr>
            <w:tcW w:w="709" w:type="dxa"/>
            <w:vAlign w:val="center"/>
          </w:tcPr>
          <w:p w14:paraId="05401E72"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07DCAAC6" w14:textId="77777777" w:rsidR="0008023B" w:rsidRPr="00BE7EA6" w:rsidRDefault="0008023B" w:rsidP="00F022E8">
            <w:pPr>
              <w:jc w:val="left"/>
              <w:rPr>
                <w:rFonts w:ascii="Constantia" w:hAnsi="Constantia"/>
                <w:i/>
                <w:sz w:val="21"/>
                <w:szCs w:val="21"/>
              </w:rPr>
            </w:pPr>
            <w:r w:rsidRPr="00BE7EA6">
              <w:rPr>
                <w:rFonts w:ascii="Constantia" w:hAnsi="Constantia"/>
                <w:sz w:val="21"/>
                <w:szCs w:val="21"/>
              </w:rPr>
              <w:t xml:space="preserve">föregående antal Aktier som varje Optionsrätt ger rätt att teckna x Aktiens genomsnittskurs ökad med teckningsrättens värde / </w:t>
            </w:r>
            <w:r w:rsidRPr="00BE7EA6">
              <w:rPr>
                <w:rFonts w:ascii="Constantia" w:hAnsi="Constantia"/>
                <w:i/>
                <w:sz w:val="21"/>
                <w:szCs w:val="21"/>
              </w:rPr>
              <w:t xml:space="preserve">previous number of Shares </w:t>
            </w:r>
            <w:r w:rsidR="00850C4D" w:rsidRPr="00BE7EA6">
              <w:rPr>
                <w:rFonts w:ascii="Constantia" w:hAnsi="Constantia"/>
                <w:i/>
                <w:sz w:val="21"/>
                <w:szCs w:val="21"/>
              </w:rPr>
              <w:t xml:space="preserve">to which </w:t>
            </w:r>
            <w:r w:rsidRPr="00BE7EA6">
              <w:rPr>
                <w:rFonts w:ascii="Constantia" w:hAnsi="Constantia"/>
                <w:i/>
                <w:sz w:val="21"/>
                <w:szCs w:val="21"/>
              </w:rPr>
              <w:t xml:space="preserve">each Warrant </w:t>
            </w:r>
            <w:r w:rsidR="00FB0FD3" w:rsidRPr="00BE7EA6">
              <w:rPr>
                <w:rFonts w:ascii="Constantia" w:hAnsi="Constantia"/>
                <w:i/>
                <w:sz w:val="21"/>
                <w:szCs w:val="21"/>
              </w:rPr>
              <w:t xml:space="preserve">provides an entitlement to </w:t>
            </w:r>
            <w:r w:rsidR="00366460" w:rsidRPr="00BE7EA6">
              <w:rPr>
                <w:rFonts w:ascii="Constantia" w:hAnsi="Constantia"/>
                <w:i/>
                <w:sz w:val="21"/>
                <w:szCs w:val="21"/>
              </w:rPr>
              <w:t>s</w:t>
            </w:r>
            <w:r w:rsidRPr="00BE7EA6">
              <w:rPr>
                <w:rFonts w:ascii="Constantia" w:hAnsi="Constantia"/>
                <w:i/>
                <w:sz w:val="21"/>
                <w:szCs w:val="21"/>
              </w:rPr>
              <w:t>ubscribe for x the average price of Share increased by the value of the subscription right</w:t>
            </w:r>
          </w:p>
        </w:tc>
      </w:tr>
      <w:tr w:rsidR="0008023B" w:rsidRPr="00BE7EA6" w14:paraId="6A18EE3A" w14:textId="77777777" w:rsidTr="00F022E8">
        <w:trPr>
          <w:trHeight w:val="409"/>
        </w:trPr>
        <w:tc>
          <w:tcPr>
            <w:tcW w:w="2547" w:type="dxa"/>
            <w:vMerge w:val="restart"/>
            <w:vAlign w:val="center"/>
          </w:tcPr>
          <w:p w14:paraId="2E3371E8"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omräknat antal Aktier som varje Optionsrätt ger rätt att teckna / </w:t>
            </w:r>
            <w:r w:rsidRPr="00BE7EA6">
              <w:rPr>
                <w:rFonts w:ascii="Constantia" w:hAnsi="Constantia"/>
                <w:i/>
                <w:sz w:val="21"/>
                <w:szCs w:val="21"/>
              </w:rPr>
              <w:t xml:space="preserve">recalculated number of Shares that each Warrant entitles to </w:t>
            </w:r>
            <w:r w:rsidR="00366460" w:rsidRPr="00BE7EA6">
              <w:rPr>
                <w:rFonts w:ascii="Constantia" w:hAnsi="Constantia"/>
                <w:i/>
                <w:sz w:val="21"/>
                <w:szCs w:val="21"/>
              </w:rPr>
              <w:t>s</w:t>
            </w:r>
            <w:r w:rsidRPr="00BE7EA6">
              <w:rPr>
                <w:rFonts w:ascii="Constantia" w:hAnsi="Constantia"/>
                <w:i/>
                <w:sz w:val="21"/>
                <w:szCs w:val="21"/>
              </w:rPr>
              <w:t>ubscribe for</w:t>
            </w:r>
          </w:p>
        </w:tc>
        <w:tc>
          <w:tcPr>
            <w:tcW w:w="709" w:type="dxa"/>
            <w:vMerge w:val="restart"/>
            <w:vAlign w:val="center"/>
          </w:tcPr>
          <w:p w14:paraId="06A58AE8"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17CE8D8C" w14:textId="77777777" w:rsidR="0008023B" w:rsidRPr="00BE7EA6" w:rsidRDefault="0008023B" w:rsidP="00F022E8">
            <w:pPr>
              <w:jc w:val="left"/>
              <w:rPr>
                <w:rFonts w:ascii="Constantia" w:hAnsi="Constantia"/>
                <w:sz w:val="21"/>
                <w:szCs w:val="21"/>
                <w:lang w:val="sv-SE"/>
              </w:rPr>
            </w:pPr>
          </w:p>
        </w:tc>
      </w:tr>
      <w:tr w:rsidR="0008023B" w:rsidRPr="00BE7EA6" w14:paraId="4B4A2BDB" w14:textId="77777777" w:rsidTr="00F022E8">
        <w:trPr>
          <w:trHeight w:val="509"/>
        </w:trPr>
        <w:tc>
          <w:tcPr>
            <w:tcW w:w="2547" w:type="dxa"/>
            <w:vMerge/>
            <w:vAlign w:val="center"/>
          </w:tcPr>
          <w:p w14:paraId="59781404"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6EA4BB56" w14:textId="77777777" w:rsidR="0008023B" w:rsidRPr="00BE7EA6" w:rsidRDefault="0008023B" w:rsidP="00F022E8">
            <w:pPr>
              <w:jc w:val="left"/>
              <w:rPr>
                <w:rFonts w:ascii="Constantia" w:hAnsi="Constantia"/>
                <w:sz w:val="21"/>
                <w:szCs w:val="21"/>
                <w:lang w:val="sv-SE"/>
              </w:rPr>
            </w:pPr>
          </w:p>
        </w:tc>
        <w:tc>
          <w:tcPr>
            <w:tcW w:w="5804" w:type="dxa"/>
            <w:tcBorders>
              <w:top w:val="single" w:sz="4" w:space="0" w:color="auto"/>
            </w:tcBorders>
            <w:vAlign w:val="center"/>
          </w:tcPr>
          <w:p w14:paraId="40B3C2EF"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Aktiens genomsnittskurs / </w:t>
            </w:r>
            <w:r w:rsidRPr="00BE7EA6">
              <w:rPr>
                <w:rFonts w:ascii="Constantia" w:hAnsi="Constantia"/>
                <w:i/>
                <w:sz w:val="21"/>
                <w:szCs w:val="21"/>
                <w:lang w:val="sv-SE"/>
              </w:rPr>
              <w:t>average price of Share</w:t>
            </w:r>
          </w:p>
        </w:tc>
      </w:tr>
    </w:tbl>
    <w:p w14:paraId="77815303" w14:textId="77777777" w:rsidR="0008023B" w:rsidRPr="00BE7EA6" w:rsidRDefault="0008023B" w:rsidP="0008023B">
      <w:pPr>
        <w:rPr>
          <w:rFonts w:ascii="Constantia" w:hAnsi="Constantia"/>
          <w:sz w:val="21"/>
          <w:szCs w:val="21"/>
          <w:lang w:val="sv-SE"/>
        </w:rPr>
      </w:pPr>
    </w:p>
    <w:p w14:paraId="375A8DDB"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Aktiens genomsnittskurs beräknas i enlighet med punkt C ovan. </w:t>
      </w:r>
    </w:p>
    <w:p w14:paraId="2800D676"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average price of Share is calculated in accordance with item C above.</w:t>
      </w:r>
    </w:p>
    <w:p w14:paraId="433046C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Teckningsrättens värde ska anses motsvara det matematiskt framräknade värdet efter justering för nyemission och med beaktande av marknadsvärdet beräknat i enlighet med vad som anges i punkt C ovan. </w:t>
      </w:r>
    </w:p>
    <w:p w14:paraId="2E183F4C"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value of the subscription right shall be deemed to correspond to the calculated value with adjustments for the new issue and the market value calculated in accordance with item C above.</w:t>
      </w:r>
    </w:p>
    <w:p w14:paraId="73411BE0"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Enligt ovan omräknad Teckningskurs och omräknat antal Aktier som belöper på varje Optionsrätt ska fastställas av Bolaget två Bankdagar efter teckningstidens utgång och tillämpas vid Teckning som verkställs därefter.</w:t>
      </w:r>
    </w:p>
    <w:p w14:paraId="23D75557"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The recalculated Subscription Price and the recalculated number of Shares as set forth above shall be determined by the Company two </w:t>
      </w:r>
      <w:r w:rsidR="00BF5340" w:rsidRPr="00B4441E">
        <w:rPr>
          <w:rFonts w:ascii="Constantia" w:hAnsi="Constantia"/>
          <w:i/>
          <w:sz w:val="21"/>
          <w:szCs w:val="21"/>
          <w:lang w:val="en-US"/>
        </w:rPr>
        <w:t>Banking Day</w:t>
      </w:r>
      <w:r w:rsidRPr="00B4441E">
        <w:rPr>
          <w:rFonts w:ascii="Constantia" w:hAnsi="Constantia"/>
          <w:i/>
          <w:sz w:val="21"/>
          <w:szCs w:val="21"/>
          <w:lang w:val="en-US"/>
        </w:rPr>
        <w:t>s after the expiration of the Subscription Period and shall apply to Subscriptions made after such time.</w:t>
      </w:r>
    </w:p>
    <w:p w14:paraId="16F1B2EA"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51697959" w14:textId="77777777" w:rsidR="0008023B" w:rsidRPr="00B4441E" w:rsidRDefault="00AB47B7" w:rsidP="0008023B">
      <w:pPr>
        <w:rPr>
          <w:rFonts w:ascii="Constantia" w:hAnsi="Constantia"/>
          <w:i/>
          <w:sz w:val="21"/>
          <w:szCs w:val="21"/>
          <w:lang w:val="en-US"/>
        </w:rPr>
      </w:pPr>
      <w:r w:rsidRPr="00B4441E">
        <w:rPr>
          <w:rFonts w:ascii="Constantia" w:hAnsi="Constantia"/>
          <w:i/>
          <w:sz w:val="21"/>
          <w:szCs w:val="21"/>
          <w:lang w:val="en-US"/>
        </w:rPr>
        <w:t>In the event the Company’s shares are not listed or traded on a Market Place, a recalculated Subscription Price and recalculated number of Shares in accordance with this item D shall apply. Instead of what is stated regarding the average price of Share, the Share price shall be determined by an independent valuer appointed by the Company.</w:t>
      </w:r>
    </w:p>
    <w:p w14:paraId="566129F7"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Teckning som sker under tiden fram till dess att omräknad Teckningskurs och omräknat antal Aktier som belöper på varje Optionsrätt fastställs, ska bestämmelsen i punkt C sista stycket ovan äga motsvarande tillämpning.</w:t>
      </w:r>
    </w:p>
    <w:p w14:paraId="6893D261" w14:textId="77777777" w:rsidR="0008023B" w:rsidRPr="00B4441E" w:rsidRDefault="0066095A" w:rsidP="0008023B">
      <w:pPr>
        <w:rPr>
          <w:rFonts w:ascii="Constantia" w:hAnsi="Constantia"/>
          <w:i/>
          <w:sz w:val="21"/>
          <w:szCs w:val="21"/>
          <w:lang w:val="en-US"/>
        </w:rPr>
      </w:pPr>
      <w:r w:rsidRPr="00B4441E">
        <w:rPr>
          <w:rFonts w:ascii="Constantia" w:hAnsi="Constantia"/>
          <w:i/>
          <w:sz w:val="21"/>
          <w:szCs w:val="21"/>
          <w:lang w:val="en-US"/>
        </w:rPr>
        <w:t>In the event of Subscription for Shares which is effected before the recalculated Subscription Price and the recalculated number of Shares provided by each Warrant have been determined, the provisions of item C last paragraph above shall be applied.</w:t>
      </w:r>
    </w:p>
    <w:p w14:paraId="09FAB16D" w14:textId="77777777" w:rsidR="0008023B" w:rsidRPr="00BE7EA6" w:rsidRDefault="0008023B" w:rsidP="0008023B">
      <w:pPr>
        <w:rPr>
          <w:rFonts w:ascii="Constantia" w:hAnsi="Constantia"/>
          <w:b/>
          <w:i/>
          <w:sz w:val="21"/>
          <w:szCs w:val="21"/>
        </w:rPr>
      </w:pPr>
      <w:r w:rsidRPr="00BE7EA6">
        <w:rPr>
          <w:rFonts w:ascii="Constantia" w:hAnsi="Constantia"/>
          <w:b/>
          <w:i/>
          <w:sz w:val="21"/>
          <w:szCs w:val="21"/>
        </w:rPr>
        <w:t xml:space="preserve">E. Erbjudande till aktieägarna i annat fall än som avses i punkt A-D / </w:t>
      </w:r>
      <w:r w:rsidR="00CA069F" w:rsidRPr="00BE7EA6">
        <w:rPr>
          <w:rFonts w:ascii="Constantia" w:hAnsi="Constantia"/>
          <w:b/>
          <w:i/>
          <w:sz w:val="21"/>
          <w:szCs w:val="21"/>
        </w:rPr>
        <w:t>Offer to the shareholers in circumstances other than those set forth in subsections A-D</w:t>
      </w:r>
    </w:p>
    <w:p w14:paraId="7175626F"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3F4E333C" w14:textId="77777777" w:rsidR="00F8793A" w:rsidRPr="00B4441E" w:rsidRDefault="00F8793A" w:rsidP="0008023B">
      <w:pPr>
        <w:rPr>
          <w:rFonts w:ascii="Constantia" w:hAnsi="Constantia"/>
          <w:i/>
          <w:sz w:val="21"/>
          <w:szCs w:val="21"/>
          <w:lang w:val="en-US"/>
        </w:rPr>
      </w:pPr>
      <w:r w:rsidRPr="00B4441E">
        <w:rPr>
          <w:rFonts w:ascii="Constantia" w:hAnsi="Constantia"/>
          <w:i/>
          <w:sz w:val="21"/>
          <w:szCs w:val="21"/>
          <w:lang w:val="en-US"/>
        </w:rPr>
        <w:t>In the event the Company, in circumstances other than those set forth in item A-D above, extends an offer to the shareholders, subject to shareholders’ pre-emption rights pursuant to the principles set forth in the Swedish Companies Act,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aforementioned principles, to distribute securities or rights to the shareholders without consideration.</w:t>
      </w:r>
    </w:p>
    <w:p w14:paraId="361068D4"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Omräkningarna ska utföras av Bolaget enligt följande formel:</w:t>
      </w:r>
    </w:p>
    <w:p w14:paraId="2E92534D" w14:textId="77777777" w:rsidR="0008023B" w:rsidRPr="00BE7EA6" w:rsidRDefault="0008023B" w:rsidP="0008023B">
      <w:pPr>
        <w:rPr>
          <w:rFonts w:ascii="Constantia" w:hAnsi="Constantia"/>
          <w:i/>
          <w:sz w:val="21"/>
          <w:szCs w:val="21"/>
        </w:rPr>
      </w:pPr>
      <w:r w:rsidRPr="00BE7EA6">
        <w:rPr>
          <w:rFonts w:ascii="Constantia" w:hAnsi="Constantia"/>
          <w:i/>
          <w:sz w:val="21"/>
          <w:szCs w:val="21"/>
        </w:rPr>
        <w:t>Recalculations shall be made by the Company in accordance with the following formula:</w:t>
      </w:r>
    </w:p>
    <w:p w14:paraId="3E9272FC"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3205CB2C" w14:textId="77777777" w:rsidTr="00F022E8">
        <w:tc>
          <w:tcPr>
            <w:tcW w:w="2547" w:type="dxa"/>
            <w:vAlign w:val="center"/>
          </w:tcPr>
          <w:p w14:paraId="1352085D" w14:textId="77777777" w:rsidR="0008023B" w:rsidRPr="00BE7EA6" w:rsidRDefault="0008023B" w:rsidP="00F022E8">
            <w:pPr>
              <w:jc w:val="left"/>
              <w:rPr>
                <w:rFonts w:ascii="Constantia" w:hAnsi="Constantia"/>
                <w:sz w:val="21"/>
                <w:szCs w:val="21"/>
              </w:rPr>
            </w:pPr>
          </w:p>
        </w:tc>
        <w:tc>
          <w:tcPr>
            <w:tcW w:w="709" w:type="dxa"/>
            <w:vAlign w:val="center"/>
          </w:tcPr>
          <w:p w14:paraId="4D1790F4"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1C20D12F"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Teckningskurs x Aktiens genomsnittliga betalkurs under den i erbjudandet fastställda anmälningstiden (Aktiens genomsnittskurs) / </w:t>
            </w:r>
            <w:r w:rsidRPr="00BE7EA6">
              <w:rPr>
                <w:rFonts w:ascii="Constantia" w:hAnsi="Constantia"/>
                <w:i/>
                <w:sz w:val="21"/>
                <w:szCs w:val="21"/>
              </w:rPr>
              <w:t>previous Subscription Price x the average share price of the Share during the notice period set forth in the offer (the average price of Share)</w:t>
            </w:r>
          </w:p>
        </w:tc>
      </w:tr>
      <w:tr w:rsidR="0008023B" w:rsidRPr="00BE7EA6" w14:paraId="1C3E1D88" w14:textId="77777777" w:rsidTr="00F022E8">
        <w:trPr>
          <w:trHeight w:val="409"/>
        </w:trPr>
        <w:tc>
          <w:tcPr>
            <w:tcW w:w="2547" w:type="dxa"/>
            <w:vMerge w:val="restart"/>
            <w:vAlign w:val="center"/>
          </w:tcPr>
          <w:p w14:paraId="23501B52"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omräknad Teckningskurs / </w:t>
            </w:r>
            <w:r w:rsidRPr="00BE7EA6">
              <w:rPr>
                <w:rFonts w:ascii="Constantia" w:hAnsi="Constantia"/>
                <w:i/>
                <w:sz w:val="21"/>
                <w:szCs w:val="21"/>
              </w:rPr>
              <w:t>recalculated Subscription Price</w:t>
            </w:r>
          </w:p>
        </w:tc>
        <w:tc>
          <w:tcPr>
            <w:tcW w:w="709" w:type="dxa"/>
            <w:vMerge w:val="restart"/>
            <w:vAlign w:val="center"/>
          </w:tcPr>
          <w:p w14:paraId="5334E571"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2F52F2EC" w14:textId="77777777" w:rsidR="0008023B" w:rsidRPr="00BE7EA6" w:rsidRDefault="0008023B" w:rsidP="00F022E8">
            <w:pPr>
              <w:jc w:val="left"/>
              <w:rPr>
                <w:rFonts w:ascii="Constantia" w:hAnsi="Constantia"/>
                <w:sz w:val="21"/>
                <w:szCs w:val="21"/>
                <w:lang w:val="sv-SE"/>
              </w:rPr>
            </w:pPr>
          </w:p>
        </w:tc>
      </w:tr>
      <w:tr w:rsidR="0008023B" w:rsidRPr="00BE7EA6" w14:paraId="0C826ECA" w14:textId="77777777" w:rsidTr="00F022E8">
        <w:trPr>
          <w:trHeight w:val="509"/>
        </w:trPr>
        <w:tc>
          <w:tcPr>
            <w:tcW w:w="2547" w:type="dxa"/>
            <w:vMerge/>
            <w:vAlign w:val="center"/>
          </w:tcPr>
          <w:p w14:paraId="15FF9D10"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0A391A33"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4BAED085"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Aktiens genomsnittskurs ökad med värdet av rätten till deltagande i erbjudandet (inköpsrättens värde) / </w:t>
            </w:r>
            <w:r w:rsidRPr="00BE7EA6">
              <w:rPr>
                <w:rFonts w:ascii="Constantia" w:hAnsi="Constantia"/>
                <w:i/>
                <w:sz w:val="21"/>
                <w:szCs w:val="21"/>
              </w:rPr>
              <w:t>average price of Share increased by the value of the right to participate in the offer (the purchase right value)</w:t>
            </w:r>
          </w:p>
        </w:tc>
      </w:tr>
      <w:tr w:rsidR="0008023B" w:rsidRPr="00BE7EA6" w14:paraId="72F487C8" w14:textId="77777777" w:rsidTr="00F022E8">
        <w:tc>
          <w:tcPr>
            <w:tcW w:w="2547" w:type="dxa"/>
            <w:vAlign w:val="center"/>
          </w:tcPr>
          <w:p w14:paraId="02E0E127" w14:textId="77777777" w:rsidR="0008023B" w:rsidRPr="00BE7EA6" w:rsidRDefault="0008023B" w:rsidP="00F022E8">
            <w:pPr>
              <w:jc w:val="left"/>
              <w:rPr>
                <w:rFonts w:ascii="Constantia" w:hAnsi="Constantia"/>
                <w:sz w:val="21"/>
                <w:szCs w:val="21"/>
              </w:rPr>
            </w:pPr>
          </w:p>
        </w:tc>
        <w:tc>
          <w:tcPr>
            <w:tcW w:w="709" w:type="dxa"/>
            <w:vAlign w:val="center"/>
          </w:tcPr>
          <w:p w14:paraId="082A3744" w14:textId="77777777" w:rsidR="0008023B" w:rsidRPr="00BE7EA6" w:rsidRDefault="0008023B" w:rsidP="00F022E8">
            <w:pPr>
              <w:jc w:val="left"/>
              <w:rPr>
                <w:rFonts w:ascii="Constantia" w:hAnsi="Constantia"/>
                <w:sz w:val="21"/>
                <w:szCs w:val="21"/>
              </w:rPr>
            </w:pPr>
          </w:p>
        </w:tc>
        <w:tc>
          <w:tcPr>
            <w:tcW w:w="5804" w:type="dxa"/>
            <w:vMerge/>
            <w:vAlign w:val="center"/>
          </w:tcPr>
          <w:p w14:paraId="5696D19E" w14:textId="77777777" w:rsidR="0008023B" w:rsidRPr="00BE7EA6" w:rsidRDefault="0008023B" w:rsidP="00F022E8">
            <w:pPr>
              <w:jc w:val="left"/>
              <w:rPr>
                <w:rFonts w:ascii="Constantia" w:hAnsi="Constantia"/>
                <w:sz w:val="21"/>
                <w:szCs w:val="21"/>
              </w:rPr>
            </w:pPr>
          </w:p>
        </w:tc>
      </w:tr>
    </w:tbl>
    <w:p w14:paraId="2A09FC11" w14:textId="77777777" w:rsidR="0008023B" w:rsidRPr="00BE7EA6" w:rsidRDefault="0008023B" w:rsidP="0008023B">
      <w:pPr>
        <w:rPr>
          <w:rFonts w:ascii="Constantia" w:hAnsi="Constantia"/>
          <w:sz w:val="21"/>
          <w:szCs w:val="21"/>
        </w:rPr>
      </w:pPr>
    </w:p>
    <w:p w14:paraId="5C17EE1E" w14:textId="77777777" w:rsidR="0008023B" w:rsidRPr="00BE7EA6" w:rsidRDefault="0008023B" w:rsidP="0008023B">
      <w:pPr>
        <w:rPr>
          <w:rFonts w:ascii="Constantia" w:hAnsi="Constantia"/>
          <w:sz w:val="21"/>
          <w:szCs w:val="21"/>
        </w:rPr>
      </w:pPr>
    </w:p>
    <w:p w14:paraId="1D16DBDA" w14:textId="77777777" w:rsidR="00223C5E" w:rsidRPr="00BE7EA6" w:rsidRDefault="00223C5E" w:rsidP="0008023B">
      <w:pPr>
        <w:rPr>
          <w:rFonts w:ascii="Constantia" w:hAnsi="Constantia"/>
          <w:sz w:val="21"/>
          <w:szCs w:val="21"/>
        </w:rPr>
      </w:pPr>
    </w:p>
    <w:p w14:paraId="10FD03B4" w14:textId="77777777" w:rsidR="00223C5E" w:rsidRPr="00BE7EA6" w:rsidRDefault="00223C5E" w:rsidP="0008023B">
      <w:pPr>
        <w:rPr>
          <w:rFonts w:ascii="Constantia" w:hAnsi="Constantia"/>
          <w:sz w:val="21"/>
          <w:szCs w:val="21"/>
        </w:rPr>
      </w:pPr>
    </w:p>
    <w:p w14:paraId="5583CB22" w14:textId="77777777" w:rsidR="00223C5E" w:rsidRPr="00BE7EA6" w:rsidRDefault="00223C5E"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326723BC" w14:textId="77777777" w:rsidTr="00F022E8">
        <w:tc>
          <w:tcPr>
            <w:tcW w:w="2547" w:type="dxa"/>
            <w:vAlign w:val="center"/>
          </w:tcPr>
          <w:p w14:paraId="3C14C0C7" w14:textId="77777777" w:rsidR="0008023B" w:rsidRPr="00BE7EA6" w:rsidRDefault="0008023B" w:rsidP="00F022E8">
            <w:pPr>
              <w:jc w:val="left"/>
              <w:rPr>
                <w:rFonts w:ascii="Constantia" w:hAnsi="Constantia"/>
                <w:sz w:val="21"/>
                <w:szCs w:val="21"/>
              </w:rPr>
            </w:pPr>
          </w:p>
        </w:tc>
        <w:tc>
          <w:tcPr>
            <w:tcW w:w="709" w:type="dxa"/>
            <w:vAlign w:val="center"/>
          </w:tcPr>
          <w:p w14:paraId="03345B94"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0AA9E29C"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antal Aktier som varje Optionsrätt ger rätt att teckna x Aktiens genomsnittskurs ökad med inköpsrättens värde / </w:t>
            </w:r>
            <w:r w:rsidR="004350E0" w:rsidRPr="00BE7EA6">
              <w:rPr>
                <w:rFonts w:ascii="Constantia" w:hAnsi="Constantia"/>
                <w:i/>
                <w:sz w:val="21"/>
                <w:szCs w:val="21"/>
              </w:rPr>
              <w:t xml:space="preserve">previous number of Shares to which each Warrant provides an entitlement to </w:t>
            </w:r>
            <w:r w:rsidR="00366460" w:rsidRPr="00BE7EA6">
              <w:rPr>
                <w:rFonts w:ascii="Constantia" w:hAnsi="Constantia"/>
                <w:i/>
                <w:sz w:val="21"/>
                <w:szCs w:val="21"/>
              </w:rPr>
              <w:t>s</w:t>
            </w:r>
            <w:r w:rsidR="004350E0" w:rsidRPr="00BE7EA6">
              <w:rPr>
                <w:rFonts w:ascii="Constantia" w:hAnsi="Constantia"/>
                <w:i/>
                <w:sz w:val="21"/>
                <w:szCs w:val="21"/>
              </w:rPr>
              <w:t>ubscribe for x the average price of Share increased by the value of the purchase right</w:t>
            </w:r>
          </w:p>
        </w:tc>
      </w:tr>
      <w:tr w:rsidR="0008023B" w:rsidRPr="00BE7EA6" w14:paraId="4A6F56F5" w14:textId="77777777" w:rsidTr="00F022E8">
        <w:trPr>
          <w:trHeight w:val="409"/>
        </w:trPr>
        <w:tc>
          <w:tcPr>
            <w:tcW w:w="2547" w:type="dxa"/>
            <w:vMerge w:val="restart"/>
            <w:vAlign w:val="center"/>
          </w:tcPr>
          <w:p w14:paraId="39D2C272" w14:textId="77777777" w:rsidR="0008023B" w:rsidRPr="00BE7EA6" w:rsidRDefault="0008023B" w:rsidP="00F022E8">
            <w:pPr>
              <w:jc w:val="left"/>
              <w:rPr>
                <w:rFonts w:ascii="Constantia" w:hAnsi="Constantia"/>
                <w:i/>
                <w:sz w:val="21"/>
                <w:szCs w:val="21"/>
              </w:rPr>
            </w:pPr>
            <w:r w:rsidRPr="00BE7EA6">
              <w:rPr>
                <w:rFonts w:ascii="Constantia" w:hAnsi="Constantia"/>
                <w:sz w:val="21"/>
                <w:szCs w:val="21"/>
              </w:rPr>
              <w:t xml:space="preserve">omräknat antal Aktier som varje Optionsrätt ger rätt att teckna / </w:t>
            </w:r>
            <w:r w:rsidRPr="00BE7EA6">
              <w:rPr>
                <w:rFonts w:ascii="Constantia" w:hAnsi="Constantia"/>
                <w:i/>
                <w:sz w:val="21"/>
                <w:szCs w:val="21"/>
              </w:rPr>
              <w:t xml:space="preserve">recalculated number of Shares that each Warrant entitles to </w:t>
            </w:r>
            <w:r w:rsidR="00A74ADC" w:rsidRPr="00BE7EA6">
              <w:rPr>
                <w:rFonts w:ascii="Constantia" w:hAnsi="Constantia"/>
                <w:i/>
                <w:sz w:val="21"/>
                <w:szCs w:val="21"/>
              </w:rPr>
              <w:t>s</w:t>
            </w:r>
            <w:r w:rsidRPr="00BE7EA6">
              <w:rPr>
                <w:rFonts w:ascii="Constantia" w:hAnsi="Constantia"/>
                <w:i/>
                <w:sz w:val="21"/>
                <w:szCs w:val="21"/>
              </w:rPr>
              <w:t>ubscribe for</w:t>
            </w:r>
          </w:p>
        </w:tc>
        <w:tc>
          <w:tcPr>
            <w:tcW w:w="709" w:type="dxa"/>
            <w:vMerge w:val="restart"/>
            <w:vAlign w:val="center"/>
          </w:tcPr>
          <w:p w14:paraId="657A743A"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25C9D14E" w14:textId="77777777" w:rsidR="0008023B" w:rsidRPr="00BE7EA6" w:rsidRDefault="0008023B" w:rsidP="00F022E8">
            <w:pPr>
              <w:jc w:val="left"/>
              <w:rPr>
                <w:rFonts w:ascii="Constantia" w:hAnsi="Constantia"/>
                <w:sz w:val="21"/>
                <w:szCs w:val="21"/>
                <w:lang w:val="sv-SE"/>
              </w:rPr>
            </w:pPr>
          </w:p>
        </w:tc>
      </w:tr>
      <w:tr w:rsidR="0008023B" w:rsidRPr="00BE7EA6" w14:paraId="503DF4C4" w14:textId="77777777" w:rsidTr="00F022E8">
        <w:trPr>
          <w:trHeight w:val="509"/>
        </w:trPr>
        <w:tc>
          <w:tcPr>
            <w:tcW w:w="2547" w:type="dxa"/>
            <w:vMerge/>
            <w:vAlign w:val="center"/>
          </w:tcPr>
          <w:p w14:paraId="2C67C2A2"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23A27B39" w14:textId="77777777" w:rsidR="0008023B" w:rsidRPr="00BE7EA6" w:rsidRDefault="0008023B" w:rsidP="00F022E8">
            <w:pPr>
              <w:jc w:val="left"/>
              <w:rPr>
                <w:rFonts w:ascii="Constantia" w:hAnsi="Constantia"/>
                <w:sz w:val="21"/>
                <w:szCs w:val="21"/>
                <w:lang w:val="sv-SE"/>
              </w:rPr>
            </w:pPr>
          </w:p>
        </w:tc>
        <w:tc>
          <w:tcPr>
            <w:tcW w:w="5804" w:type="dxa"/>
            <w:tcBorders>
              <w:top w:val="single" w:sz="4" w:space="0" w:color="auto"/>
            </w:tcBorders>
            <w:vAlign w:val="center"/>
          </w:tcPr>
          <w:p w14:paraId="2B5E004B"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Aktiens genomsnittskurs / </w:t>
            </w:r>
            <w:r w:rsidRPr="00842C0F">
              <w:rPr>
                <w:rFonts w:ascii="Constantia" w:hAnsi="Constantia"/>
                <w:sz w:val="21"/>
                <w:szCs w:val="21"/>
                <w:lang w:val="en-US"/>
              </w:rPr>
              <w:t>average price of Share</w:t>
            </w:r>
          </w:p>
        </w:tc>
      </w:tr>
    </w:tbl>
    <w:p w14:paraId="73E3F3E4" w14:textId="77777777" w:rsidR="0008023B" w:rsidRPr="00BE7EA6" w:rsidRDefault="0008023B" w:rsidP="0008023B">
      <w:pPr>
        <w:rPr>
          <w:rFonts w:ascii="Constantia" w:hAnsi="Constantia"/>
          <w:sz w:val="21"/>
          <w:szCs w:val="21"/>
          <w:lang w:val="sv-SE"/>
        </w:rPr>
      </w:pPr>
    </w:p>
    <w:p w14:paraId="0B10793A"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Aktiens genomsnittskurs beräknas i enlighet med punkt C ovan.</w:t>
      </w:r>
    </w:p>
    <w:p w14:paraId="1207623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average price of Share is calculated in accordance with item C above.</w:t>
      </w:r>
    </w:p>
    <w:p w14:paraId="4050928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6E12331C" w14:textId="77777777" w:rsidR="0008023B" w:rsidRPr="00B4441E" w:rsidRDefault="00DB4AF8" w:rsidP="0008023B">
      <w:pPr>
        <w:rPr>
          <w:rFonts w:ascii="Constantia" w:hAnsi="Constantia"/>
          <w:i/>
          <w:sz w:val="21"/>
          <w:szCs w:val="21"/>
          <w:lang w:val="en-US"/>
        </w:rPr>
      </w:pPr>
      <w:r w:rsidRPr="00B4441E">
        <w:rPr>
          <w:rFonts w:ascii="Constantia" w:hAnsi="Constantia"/>
          <w:i/>
          <w:sz w:val="21"/>
          <w:szCs w:val="21"/>
          <w:lang w:val="en-US"/>
        </w:rP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4B3FB2DB"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 Den omräknade Teckningskursen fastställs av Bolaget snarast möjligt efter erbjudandetidens utgång och tillämpas vid Teckning som verkställs sedan den omräknade kursen fastställts.</w:t>
      </w:r>
    </w:p>
    <w:p w14:paraId="65BD54CC" w14:textId="77777777" w:rsidR="005C606F" w:rsidRPr="00B4441E" w:rsidRDefault="005C606F" w:rsidP="0008023B">
      <w:pPr>
        <w:rPr>
          <w:rFonts w:ascii="Constantia" w:hAnsi="Constantia"/>
          <w:i/>
          <w:sz w:val="21"/>
          <w:szCs w:val="21"/>
          <w:lang w:val="en-US"/>
        </w:rPr>
      </w:pPr>
      <w:r w:rsidRPr="00B4441E">
        <w:rPr>
          <w:rFonts w:ascii="Constantia" w:hAnsi="Constantia"/>
          <w:i/>
          <w:sz w:val="21"/>
          <w:szCs w:val="21"/>
          <w:lang w:val="en-US"/>
        </w:rP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r w:rsidRPr="00B4441E">
        <w:rPr>
          <w:rFonts w:ascii="Constantia" w:hAnsi="Constantia"/>
          <w:sz w:val="21"/>
          <w:szCs w:val="21"/>
          <w:lang w:val="en-US"/>
        </w:rPr>
        <w:t xml:space="preserve"> </w:t>
      </w:r>
      <w:r w:rsidRPr="00B4441E">
        <w:rPr>
          <w:rFonts w:ascii="Constantia" w:hAnsi="Constantia"/>
          <w:i/>
          <w:sz w:val="21"/>
          <w:szCs w:val="21"/>
          <w:lang w:val="en-US"/>
        </w:rPr>
        <w:t>The recalculated Subscription Price shall be determined by the Company as soon as possible after expiry of the offer period and applied in conjunction with Subscriptions effected after the recalculated price has been determined.</w:t>
      </w:r>
    </w:p>
    <w:p w14:paraId="2B6AFCC3"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426F98D6"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Company’s Shares are not listed or traded on a Market Place, a recalculated Subscription Price and recalculated number of Shares shall be determined. Instead of what is stated regarding the average Share price, the Share price shall be determined by an independent valuer appointed by the Company.</w:t>
      </w:r>
    </w:p>
    <w:p w14:paraId="4E4714F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Teckning som sker under tiden fram till dess att omräknad Teckningskurs och omräknat antal Aktier som belöper på varje Optionsrätt fastställts, ska bestämmelsen i punkt C sista stycket ovan äga motsvarande tillämpning.</w:t>
      </w:r>
    </w:p>
    <w:p w14:paraId="17FC5606" w14:textId="77777777" w:rsidR="0008023B" w:rsidRPr="00B4441E" w:rsidRDefault="0007649D" w:rsidP="0008023B">
      <w:pPr>
        <w:rPr>
          <w:rFonts w:ascii="Constantia" w:hAnsi="Constantia"/>
          <w:i/>
          <w:sz w:val="21"/>
          <w:szCs w:val="21"/>
          <w:lang w:val="en-US"/>
        </w:rPr>
      </w:pPr>
      <w:r w:rsidRPr="00B4441E">
        <w:rPr>
          <w:rFonts w:ascii="Constantia" w:hAnsi="Constantia"/>
          <w:i/>
          <w:sz w:val="21"/>
          <w:szCs w:val="21"/>
          <w:lang w:val="en-US"/>
        </w:rPr>
        <w:t>In the event of Subscription for Shares which is effected before the recalculated Subscription Price and the recalculated number of Shares provided by each Warrant have been determined, the provisions of item C last paragraph above shall be applied.</w:t>
      </w:r>
    </w:p>
    <w:p w14:paraId="467CD52F" w14:textId="77777777" w:rsidR="0008023B" w:rsidRPr="00BE7EA6" w:rsidRDefault="0008023B" w:rsidP="0008023B">
      <w:pPr>
        <w:rPr>
          <w:rFonts w:ascii="Constantia" w:hAnsi="Constantia"/>
          <w:b/>
          <w:i/>
          <w:sz w:val="21"/>
          <w:szCs w:val="21"/>
        </w:rPr>
      </w:pPr>
      <w:r w:rsidRPr="00BE7EA6">
        <w:rPr>
          <w:rFonts w:ascii="Constantia" w:hAnsi="Constantia"/>
          <w:b/>
          <w:i/>
          <w:sz w:val="21"/>
          <w:szCs w:val="21"/>
        </w:rPr>
        <w:t>F. Nyemission eller emission av konvertibler eller teckningsoptioner / New issue or issue of convertibles or warrants</w:t>
      </w:r>
    </w:p>
    <w:p w14:paraId="3E0B3DF9"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50554163" w14:textId="77777777" w:rsidR="00124A83" w:rsidRPr="00B4441E" w:rsidRDefault="00124A83" w:rsidP="0008023B">
      <w:pPr>
        <w:rPr>
          <w:rFonts w:ascii="Constantia" w:hAnsi="Constantia"/>
          <w:i/>
          <w:sz w:val="21"/>
          <w:szCs w:val="21"/>
          <w:lang w:val="en-US"/>
        </w:rPr>
      </w:pPr>
      <w:r w:rsidRPr="00B4441E">
        <w:rPr>
          <w:rFonts w:ascii="Constantia" w:hAnsi="Constantia"/>
          <w:i/>
          <w:sz w:val="21"/>
          <w:szCs w:val="21"/>
          <w:lang w:val="en-US"/>
        </w:rPr>
        <w:t>In the event of a new issue or issue of convertible debentures or warrants with pre-emption rights for the shareholders, in exchange for cash payment or payment by way of set-off or, with respect to warrants, without payment, the Company may decide to grant all Warrant Holders the same pre-emption rights as vest in the shareholders pursuant to the resolution. Notwithstanding that Subscription for Shares pursuant to Warrants has not been effected, each Warrant Holder shall thereupon be deemed to be the owner of the number of Shares which the Warrant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71BA5B30"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 </w:t>
      </w:r>
    </w:p>
    <w:p w14:paraId="154933AE" w14:textId="77777777" w:rsidR="00124A83" w:rsidRPr="00B4441E" w:rsidRDefault="00124A83" w:rsidP="0008023B">
      <w:pPr>
        <w:rPr>
          <w:rFonts w:ascii="Constantia" w:hAnsi="Constantia"/>
          <w:i/>
          <w:sz w:val="21"/>
          <w:szCs w:val="21"/>
          <w:lang w:val="en-US"/>
        </w:rPr>
      </w:pPr>
      <w:r w:rsidRPr="00B4441E">
        <w:rPr>
          <w:rFonts w:ascii="Constantia" w:hAnsi="Constantia"/>
          <w:i/>
          <w:sz w:val="21"/>
          <w:szCs w:val="21"/>
          <w:lang w:val="en-US"/>
        </w:rPr>
        <w:t>In the event the Company resolves to extend to the shareholders such an offer as referred to in item E above, the provisions of the preceding paragraph shall apply mutatis mutandis. The number of Shares which Warrant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34505BC6"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 skulle besluta att ge Innehavarna företrädesrätt i enlighet med bestämmelserna i punkt F, ska någon omräkning enligt punkt C, D eller E av Teckningskursen inte äga rum.</w:t>
      </w:r>
    </w:p>
    <w:p w14:paraId="09DD924D" w14:textId="77777777" w:rsidR="0008023B" w:rsidRPr="00B4441E" w:rsidRDefault="008807CE" w:rsidP="0008023B">
      <w:pPr>
        <w:rPr>
          <w:rFonts w:ascii="Constantia" w:hAnsi="Constantia"/>
          <w:i/>
          <w:sz w:val="21"/>
          <w:szCs w:val="21"/>
          <w:lang w:val="en-US"/>
        </w:rPr>
      </w:pPr>
      <w:r w:rsidRPr="00B4441E">
        <w:rPr>
          <w:rFonts w:ascii="Constantia" w:hAnsi="Constantia"/>
          <w:i/>
          <w:sz w:val="21"/>
          <w:szCs w:val="21"/>
          <w:lang w:val="en-US"/>
        </w:rPr>
        <w:t xml:space="preserve">In the event the Company decides to grant the Warrant Holders pre-emption rights in accordance with the provisions of this item F, no recalculation of the Subscription Price shall take place pursuant to </w:t>
      </w:r>
      <w:r w:rsidR="009E7F6D" w:rsidRPr="00B4441E">
        <w:rPr>
          <w:rFonts w:ascii="Constantia" w:hAnsi="Constantia"/>
          <w:i/>
          <w:sz w:val="21"/>
          <w:szCs w:val="21"/>
          <w:lang w:val="en-US"/>
        </w:rPr>
        <w:t>item</w:t>
      </w:r>
      <w:r w:rsidRPr="00B4441E">
        <w:rPr>
          <w:rFonts w:ascii="Constantia" w:hAnsi="Constantia"/>
          <w:i/>
          <w:sz w:val="21"/>
          <w:szCs w:val="21"/>
          <w:lang w:val="en-US"/>
        </w:rPr>
        <w:t xml:space="preserve"> C, D or E.</w:t>
      </w:r>
    </w:p>
    <w:p w14:paraId="14423F82" w14:textId="77777777" w:rsidR="0008023B" w:rsidRPr="00BE7EA6" w:rsidRDefault="0008023B" w:rsidP="0008023B">
      <w:pPr>
        <w:rPr>
          <w:rFonts w:ascii="Constantia" w:hAnsi="Constantia"/>
          <w:b/>
          <w:i/>
          <w:sz w:val="21"/>
          <w:szCs w:val="21"/>
        </w:rPr>
      </w:pPr>
      <w:r w:rsidRPr="00BE7EA6">
        <w:rPr>
          <w:rFonts w:ascii="Constantia" w:hAnsi="Constantia"/>
          <w:b/>
          <w:i/>
          <w:sz w:val="21"/>
          <w:szCs w:val="21"/>
        </w:rPr>
        <w:t>G. Kontant utdelning till aktieägarna / Cash dividend to the shareholders</w:t>
      </w:r>
    </w:p>
    <w:p w14:paraId="4C8B262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1143B4C2" w14:textId="3D12936B"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In the event of a cash dividend to the shareholders, entailing that the shareholders receive dividends which, together with other dividends paid out during same financial year, exceed 30 percent of the existing Share’s average price during a period of 25 trading days immediately prior to the day on which the board of directors of the Company publishes its intention to submit a proposal to the shareholders’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percent of the </w:t>
      </w:r>
      <w:r w:rsidR="00562A5D" w:rsidRPr="00B4441E">
        <w:rPr>
          <w:rFonts w:ascii="Constantia" w:hAnsi="Constantia"/>
          <w:i/>
          <w:sz w:val="21"/>
          <w:szCs w:val="21"/>
          <w:lang w:val="en-US"/>
        </w:rPr>
        <w:t>S</w:t>
      </w:r>
      <w:r w:rsidRPr="00B4441E">
        <w:rPr>
          <w:rFonts w:ascii="Constantia" w:hAnsi="Constantia"/>
          <w:i/>
          <w:sz w:val="21"/>
          <w:szCs w:val="21"/>
          <w:lang w:val="en-US"/>
        </w:rPr>
        <w:t>hare’s average price during the aforementioned period (extraordinary dividend).</w:t>
      </w:r>
    </w:p>
    <w:p w14:paraId="6D7A435A"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Omräkningen utförs av Bolaget enligt följande formel:</w:t>
      </w:r>
    </w:p>
    <w:p w14:paraId="0676BB7A" w14:textId="77777777" w:rsidR="0008023B" w:rsidRPr="00BE7EA6" w:rsidRDefault="0008023B" w:rsidP="0008023B">
      <w:pPr>
        <w:rPr>
          <w:rFonts w:ascii="Constantia" w:hAnsi="Constantia"/>
          <w:i/>
          <w:sz w:val="21"/>
          <w:szCs w:val="21"/>
        </w:rPr>
      </w:pPr>
      <w:r w:rsidRPr="00BE7EA6">
        <w:rPr>
          <w:rFonts w:ascii="Constantia" w:hAnsi="Constantia"/>
          <w:i/>
          <w:sz w:val="21"/>
          <w:szCs w:val="21"/>
        </w:rPr>
        <w:t>The recalculation shall be made by the Company in accordance with the following formula:</w:t>
      </w:r>
    </w:p>
    <w:p w14:paraId="1402DA77"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5DB6ACF4" w14:textId="77777777" w:rsidTr="00F022E8">
        <w:tc>
          <w:tcPr>
            <w:tcW w:w="2547" w:type="dxa"/>
            <w:vAlign w:val="center"/>
          </w:tcPr>
          <w:p w14:paraId="4C83C1F9" w14:textId="77777777" w:rsidR="0008023B" w:rsidRPr="00BE7EA6" w:rsidRDefault="0008023B" w:rsidP="00F022E8">
            <w:pPr>
              <w:jc w:val="left"/>
              <w:rPr>
                <w:rFonts w:ascii="Constantia" w:hAnsi="Constantia"/>
                <w:sz w:val="21"/>
                <w:szCs w:val="21"/>
              </w:rPr>
            </w:pPr>
          </w:p>
        </w:tc>
        <w:tc>
          <w:tcPr>
            <w:tcW w:w="709" w:type="dxa"/>
            <w:vAlign w:val="center"/>
          </w:tcPr>
          <w:p w14:paraId="75B556E1"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48D2E562"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föregående Teckningskurs x Aktiens genomsnittliga betalkurs under en period om 25 handelsdagar räknat fr.o.m. den dag då Aktien noteras utan rätt till extraordinär utdelning (Aktiens genomsnittskurs) / </w:t>
            </w:r>
            <w:r w:rsidRPr="00BE7EA6">
              <w:rPr>
                <w:rFonts w:ascii="Constantia" w:hAnsi="Constantia"/>
                <w:i/>
                <w:sz w:val="21"/>
                <w:szCs w:val="21"/>
              </w:rPr>
              <w:t>previous Subscription Price x the average Share price of the Share during a period of 25 trading days calculated from the day on which the Share is quoted without any right to dividend (the average price of Share)</w:t>
            </w:r>
          </w:p>
        </w:tc>
      </w:tr>
      <w:tr w:rsidR="0008023B" w:rsidRPr="00BE7EA6" w14:paraId="1D0E8D89" w14:textId="77777777" w:rsidTr="00F022E8">
        <w:trPr>
          <w:trHeight w:val="409"/>
        </w:trPr>
        <w:tc>
          <w:tcPr>
            <w:tcW w:w="2547" w:type="dxa"/>
            <w:vMerge w:val="restart"/>
            <w:vAlign w:val="center"/>
          </w:tcPr>
          <w:p w14:paraId="4415EA00"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omräknad Teckningskurs / recalculated Subscription Price</w:t>
            </w:r>
          </w:p>
        </w:tc>
        <w:tc>
          <w:tcPr>
            <w:tcW w:w="709" w:type="dxa"/>
            <w:vMerge w:val="restart"/>
            <w:vAlign w:val="center"/>
          </w:tcPr>
          <w:p w14:paraId="17BEE848"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11E1C350" w14:textId="77777777" w:rsidR="0008023B" w:rsidRPr="00BE7EA6" w:rsidRDefault="0008023B" w:rsidP="00F022E8">
            <w:pPr>
              <w:jc w:val="left"/>
              <w:rPr>
                <w:rFonts w:ascii="Constantia" w:hAnsi="Constantia"/>
                <w:sz w:val="21"/>
                <w:szCs w:val="21"/>
                <w:lang w:val="sv-SE"/>
              </w:rPr>
            </w:pPr>
          </w:p>
        </w:tc>
      </w:tr>
      <w:tr w:rsidR="0008023B" w:rsidRPr="008A3837" w14:paraId="6A3CC9E1" w14:textId="77777777" w:rsidTr="00F022E8">
        <w:trPr>
          <w:trHeight w:val="509"/>
        </w:trPr>
        <w:tc>
          <w:tcPr>
            <w:tcW w:w="2547" w:type="dxa"/>
            <w:vMerge/>
            <w:vAlign w:val="center"/>
          </w:tcPr>
          <w:p w14:paraId="52588075"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2844F17B"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77F0C184"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Aktiens genomsnittskurs ökad med den extraordinära utdelning som utbetalas per Aktie / </w:t>
            </w:r>
            <w:r w:rsidRPr="00616AB6">
              <w:rPr>
                <w:rFonts w:ascii="Constantia" w:hAnsi="Constantia"/>
                <w:i/>
                <w:sz w:val="21"/>
                <w:szCs w:val="21"/>
                <w:lang w:val="sv-SE"/>
              </w:rPr>
              <w:t>average price of Share increased by the</w:t>
            </w:r>
            <w:r w:rsidRPr="00616AB6">
              <w:rPr>
                <w:rFonts w:ascii="Constantia" w:hAnsi="Constantia"/>
                <w:sz w:val="21"/>
                <w:szCs w:val="21"/>
                <w:lang w:val="sv-SE"/>
              </w:rPr>
              <w:t xml:space="preserve"> </w:t>
            </w:r>
            <w:r w:rsidRPr="00616AB6">
              <w:rPr>
                <w:rFonts w:ascii="Constantia" w:hAnsi="Constantia"/>
                <w:i/>
                <w:sz w:val="21"/>
                <w:szCs w:val="21"/>
                <w:lang w:val="sv-SE"/>
              </w:rPr>
              <w:t>extraordinary dividend paid per Share</w:t>
            </w:r>
          </w:p>
        </w:tc>
      </w:tr>
      <w:tr w:rsidR="0008023B" w:rsidRPr="008A3837" w14:paraId="6BD8923D" w14:textId="77777777" w:rsidTr="00F022E8">
        <w:tc>
          <w:tcPr>
            <w:tcW w:w="2547" w:type="dxa"/>
            <w:vAlign w:val="center"/>
          </w:tcPr>
          <w:p w14:paraId="3919B05A" w14:textId="77777777" w:rsidR="0008023B" w:rsidRPr="00BE7EA6" w:rsidRDefault="0008023B" w:rsidP="00F022E8">
            <w:pPr>
              <w:jc w:val="left"/>
              <w:rPr>
                <w:rFonts w:ascii="Constantia" w:hAnsi="Constantia"/>
                <w:sz w:val="21"/>
                <w:szCs w:val="21"/>
                <w:lang w:val="sv-SE"/>
              </w:rPr>
            </w:pPr>
          </w:p>
        </w:tc>
        <w:tc>
          <w:tcPr>
            <w:tcW w:w="709" w:type="dxa"/>
            <w:vAlign w:val="center"/>
          </w:tcPr>
          <w:p w14:paraId="298F50F3" w14:textId="77777777" w:rsidR="0008023B" w:rsidRPr="00BE7EA6" w:rsidRDefault="0008023B" w:rsidP="00F022E8">
            <w:pPr>
              <w:jc w:val="left"/>
              <w:rPr>
                <w:rFonts w:ascii="Constantia" w:hAnsi="Constantia"/>
                <w:sz w:val="21"/>
                <w:szCs w:val="21"/>
                <w:lang w:val="sv-SE"/>
              </w:rPr>
            </w:pPr>
          </w:p>
        </w:tc>
        <w:tc>
          <w:tcPr>
            <w:tcW w:w="5804" w:type="dxa"/>
            <w:vMerge/>
            <w:vAlign w:val="center"/>
          </w:tcPr>
          <w:p w14:paraId="7A215576" w14:textId="77777777" w:rsidR="0008023B" w:rsidRPr="00BE7EA6" w:rsidRDefault="0008023B" w:rsidP="00F022E8">
            <w:pPr>
              <w:jc w:val="left"/>
              <w:rPr>
                <w:rFonts w:ascii="Constantia" w:hAnsi="Constantia"/>
                <w:sz w:val="21"/>
                <w:szCs w:val="21"/>
                <w:lang w:val="sv-SE"/>
              </w:rPr>
            </w:pPr>
          </w:p>
        </w:tc>
      </w:tr>
    </w:tbl>
    <w:p w14:paraId="6E6F3075" w14:textId="77777777" w:rsidR="0008023B" w:rsidRPr="00BE7EA6" w:rsidRDefault="0008023B" w:rsidP="0008023B">
      <w:pPr>
        <w:rPr>
          <w:rFonts w:ascii="Constantia" w:hAnsi="Constantia"/>
          <w:sz w:val="21"/>
          <w:szCs w:val="21"/>
          <w:lang w:val="sv-SE"/>
        </w:rPr>
      </w:pPr>
    </w:p>
    <w:p w14:paraId="3AA2F3E9" w14:textId="77777777" w:rsidR="0008023B" w:rsidRPr="00BE7EA6" w:rsidRDefault="0008023B" w:rsidP="0008023B">
      <w:pPr>
        <w:rPr>
          <w:rFonts w:ascii="Constantia" w:hAnsi="Constantia"/>
          <w:sz w:val="21"/>
          <w:szCs w:val="21"/>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8A3837" w14:paraId="55A8A60E" w14:textId="77777777" w:rsidTr="00F022E8">
        <w:tc>
          <w:tcPr>
            <w:tcW w:w="2547" w:type="dxa"/>
            <w:vAlign w:val="center"/>
          </w:tcPr>
          <w:p w14:paraId="187411C8" w14:textId="77777777" w:rsidR="0008023B" w:rsidRPr="00BE7EA6" w:rsidRDefault="0008023B" w:rsidP="00F022E8">
            <w:pPr>
              <w:jc w:val="left"/>
              <w:rPr>
                <w:rFonts w:ascii="Constantia" w:hAnsi="Constantia"/>
                <w:sz w:val="21"/>
                <w:szCs w:val="21"/>
                <w:lang w:val="sv-SE"/>
              </w:rPr>
            </w:pPr>
          </w:p>
        </w:tc>
        <w:tc>
          <w:tcPr>
            <w:tcW w:w="709" w:type="dxa"/>
            <w:vAlign w:val="center"/>
          </w:tcPr>
          <w:p w14:paraId="37DADADB" w14:textId="77777777" w:rsidR="0008023B" w:rsidRPr="00BE7EA6" w:rsidRDefault="0008023B" w:rsidP="00F022E8">
            <w:pPr>
              <w:jc w:val="left"/>
              <w:rPr>
                <w:rFonts w:ascii="Constantia" w:hAnsi="Constantia"/>
                <w:sz w:val="21"/>
                <w:szCs w:val="21"/>
                <w:lang w:val="sv-SE"/>
              </w:rPr>
            </w:pPr>
          </w:p>
        </w:tc>
        <w:tc>
          <w:tcPr>
            <w:tcW w:w="5804" w:type="dxa"/>
            <w:vMerge w:val="restart"/>
            <w:tcBorders>
              <w:bottom w:val="single" w:sz="4" w:space="0" w:color="auto"/>
            </w:tcBorders>
            <w:vAlign w:val="center"/>
          </w:tcPr>
          <w:p w14:paraId="620ADC0C"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föregående antal Aktier, som varje Optionsrätt ger rätt att teckna x Aktiens genomsnittskurs ökad med den extraordinära utdelning som utbetalas per Aktie / </w:t>
            </w:r>
            <w:r w:rsidRPr="00BE7EA6">
              <w:rPr>
                <w:rFonts w:ascii="Constantia" w:hAnsi="Constantia"/>
                <w:i/>
                <w:sz w:val="21"/>
                <w:szCs w:val="21"/>
                <w:lang w:val="sv-SE"/>
              </w:rPr>
              <w:t>pre</w:t>
            </w:r>
            <w:r w:rsidRPr="00616AB6">
              <w:rPr>
                <w:rFonts w:ascii="Constantia" w:hAnsi="Constantia"/>
                <w:i/>
                <w:sz w:val="21"/>
                <w:szCs w:val="21"/>
                <w:lang w:val="sv-SE"/>
              </w:rPr>
              <w:t xml:space="preserve">vious number of Shares that each Warrant entitles to </w:t>
            </w:r>
            <w:r w:rsidR="00C9479C" w:rsidRPr="00616AB6">
              <w:rPr>
                <w:rFonts w:ascii="Constantia" w:hAnsi="Constantia"/>
                <w:i/>
                <w:sz w:val="21"/>
                <w:szCs w:val="21"/>
                <w:lang w:val="sv-SE"/>
              </w:rPr>
              <w:t>s</w:t>
            </w:r>
            <w:r w:rsidRPr="00616AB6">
              <w:rPr>
                <w:rFonts w:ascii="Constantia" w:hAnsi="Constantia"/>
                <w:i/>
                <w:sz w:val="21"/>
                <w:szCs w:val="21"/>
                <w:lang w:val="sv-SE"/>
              </w:rPr>
              <w:t>ubscribe for x the average price of Share increased by the extraordinary dividend paid per Share</w:t>
            </w:r>
          </w:p>
        </w:tc>
      </w:tr>
      <w:tr w:rsidR="0008023B" w:rsidRPr="00BE7EA6" w14:paraId="6625201E" w14:textId="77777777" w:rsidTr="00F022E8">
        <w:trPr>
          <w:trHeight w:val="409"/>
        </w:trPr>
        <w:tc>
          <w:tcPr>
            <w:tcW w:w="2547" w:type="dxa"/>
            <w:vMerge w:val="restart"/>
            <w:vAlign w:val="center"/>
          </w:tcPr>
          <w:p w14:paraId="41F73DEE"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omräknat antal Aktier som varje Optionsrätt ger rätt att teckna </w:t>
            </w:r>
            <w:r w:rsidRPr="00BE7EA6">
              <w:rPr>
                <w:rFonts w:ascii="Constantia" w:hAnsi="Constantia"/>
                <w:i/>
                <w:sz w:val="21"/>
                <w:szCs w:val="21"/>
                <w:lang w:val="sv-SE"/>
              </w:rPr>
              <w:t xml:space="preserve">/ recalculated number of Shares that each Warrant entitles to </w:t>
            </w:r>
            <w:r w:rsidR="00C9479C" w:rsidRPr="00BE7EA6">
              <w:rPr>
                <w:rFonts w:ascii="Constantia" w:hAnsi="Constantia"/>
                <w:i/>
                <w:sz w:val="21"/>
                <w:szCs w:val="21"/>
                <w:lang w:val="sv-SE"/>
              </w:rPr>
              <w:t>s</w:t>
            </w:r>
            <w:r w:rsidRPr="00BE7EA6">
              <w:rPr>
                <w:rFonts w:ascii="Constantia" w:hAnsi="Constantia"/>
                <w:i/>
                <w:sz w:val="21"/>
                <w:szCs w:val="21"/>
                <w:lang w:val="sv-SE"/>
              </w:rPr>
              <w:t>ubscribe for</w:t>
            </w:r>
          </w:p>
        </w:tc>
        <w:tc>
          <w:tcPr>
            <w:tcW w:w="709" w:type="dxa"/>
            <w:vMerge w:val="restart"/>
            <w:vAlign w:val="center"/>
          </w:tcPr>
          <w:p w14:paraId="450F9AF1"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02B7F455" w14:textId="77777777" w:rsidR="0008023B" w:rsidRPr="00BE7EA6" w:rsidRDefault="0008023B" w:rsidP="00F022E8">
            <w:pPr>
              <w:jc w:val="left"/>
              <w:rPr>
                <w:rFonts w:ascii="Constantia" w:hAnsi="Constantia"/>
                <w:sz w:val="21"/>
                <w:szCs w:val="21"/>
                <w:lang w:val="sv-SE"/>
              </w:rPr>
            </w:pPr>
          </w:p>
        </w:tc>
      </w:tr>
      <w:tr w:rsidR="0008023B" w:rsidRPr="00BE7EA6" w14:paraId="7FBF9B5B" w14:textId="77777777" w:rsidTr="00F022E8">
        <w:trPr>
          <w:trHeight w:val="509"/>
        </w:trPr>
        <w:tc>
          <w:tcPr>
            <w:tcW w:w="2547" w:type="dxa"/>
            <w:vMerge/>
            <w:vAlign w:val="center"/>
          </w:tcPr>
          <w:p w14:paraId="394E046E"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010CBF2A" w14:textId="77777777" w:rsidR="0008023B" w:rsidRPr="00BE7EA6" w:rsidRDefault="0008023B" w:rsidP="00F022E8">
            <w:pPr>
              <w:jc w:val="left"/>
              <w:rPr>
                <w:rFonts w:ascii="Constantia" w:hAnsi="Constantia"/>
                <w:sz w:val="21"/>
                <w:szCs w:val="21"/>
                <w:lang w:val="sv-SE"/>
              </w:rPr>
            </w:pPr>
          </w:p>
        </w:tc>
        <w:tc>
          <w:tcPr>
            <w:tcW w:w="5804" w:type="dxa"/>
            <w:tcBorders>
              <w:top w:val="single" w:sz="4" w:space="0" w:color="auto"/>
            </w:tcBorders>
            <w:vAlign w:val="center"/>
          </w:tcPr>
          <w:p w14:paraId="610E6182"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Aktiens genomsnittskurs / </w:t>
            </w:r>
            <w:r w:rsidRPr="00842C0F">
              <w:rPr>
                <w:rFonts w:ascii="Constantia" w:hAnsi="Constantia"/>
                <w:sz w:val="21"/>
                <w:szCs w:val="21"/>
                <w:lang w:val="en-US"/>
              </w:rPr>
              <w:t>a</w:t>
            </w:r>
            <w:r w:rsidRPr="00842C0F">
              <w:rPr>
                <w:rFonts w:ascii="Constantia" w:hAnsi="Constantia"/>
                <w:i/>
                <w:sz w:val="21"/>
                <w:szCs w:val="21"/>
                <w:lang w:val="en-US"/>
              </w:rPr>
              <w:t>verage price of Share</w:t>
            </w:r>
          </w:p>
        </w:tc>
      </w:tr>
    </w:tbl>
    <w:p w14:paraId="74B7E346" w14:textId="77777777" w:rsidR="0008023B" w:rsidRPr="00BE7EA6" w:rsidRDefault="0008023B" w:rsidP="0008023B">
      <w:pPr>
        <w:rPr>
          <w:rFonts w:ascii="Constantia" w:hAnsi="Constantia"/>
          <w:sz w:val="21"/>
          <w:szCs w:val="21"/>
          <w:lang w:val="sv-SE"/>
        </w:rPr>
      </w:pPr>
    </w:p>
    <w:p w14:paraId="4D96DFF4"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Aktiens genomsnittskurs beräknas i enlighet med punkt C ovan.</w:t>
      </w:r>
    </w:p>
    <w:p w14:paraId="301A604B" w14:textId="77777777" w:rsidR="0008023B" w:rsidRPr="00BE7EA6" w:rsidRDefault="0008023B" w:rsidP="0008023B">
      <w:pPr>
        <w:rPr>
          <w:rFonts w:ascii="Constantia" w:hAnsi="Constantia"/>
          <w:i/>
          <w:sz w:val="21"/>
          <w:szCs w:val="21"/>
        </w:rPr>
      </w:pPr>
      <w:r w:rsidRPr="00BE7EA6">
        <w:rPr>
          <w:rFonts w:ascii="Constantia" w:hAnsi="Constantia"/>
          <w:i/>
          <w:sz w:val="21"/>
          <w:szCs w:val="21"/>
        </w:rPr>
        <w:t>The average price of Share is calculated in accordance with item C above.</w:t>
      </w:r>
    </w:p>
    <w:p w14:paraId="7EECF01D"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62C484B1"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The recalculated Subscription Price and the recalculated number of Shares provided by each Warrant shall be determined by the Company two </w:t>
      </w:r>
      <w:r w:rsidR="00BF5340" w:rsidRPr="00B4441E">
        <w:rPr>
          <w:rFonts w:ascii="Constantia" w:hAnsi="Constantia"/>
          <w:i/>
          <w:sz w:val="21"/>
          <w:szCs w:val="21"/>
          <w:lang w:val="en-US"/>
        </w:rPr>
        <w:t>Banking Day</w:t>
      </w:r>
      <w:r w:rsidRPr="00B4441E">
        <w:rPr>
          <w:rFonts w:ascii="Constantia" w:hAnsi="Constantia"/>
          <w:i/>
          <w:sz w:val="21"/>
          <w:szCs w:val="21"/>
          <w:lang w:val="en-US"/>
        </w:rPr>
        <w:t>s after the expiry of the above-stated period of 25 trading days and shall be applied to Subscription effected thereafter.</w:t>
      </w:r>
    </w:p>
    <w:p w14:paraId="28235364"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6E42FC0A" w14:textId="0CAE516E"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of the Company’s Shares are not listed or traded on a Market Place, and a resolution is adopted regarding a cash dividend to the shareholders entailing that the shareholders receive a dividend which, together with other dividends paid out during the same financial year, exceeds 30 percent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item G. The Company’s value shall thereupon replace the Share’s average price in the formula. The Company’s value shall be determined by an independent valuer appointed by the Company. The recalculation shall thus be based on the aggregate dividend referred to above (extraordinary dividend).</w:t>
      </w:r>
    </w:p>
    <w:p w14:paraId="1ACC0E3C"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Teckning som verkställs under tiden till dess att omräknad Teckningskurs och omräknat antal Aktier som varje Optionsrätt berättigar till Teckning av fastställts, ska bestämmelserna i punkt C, sista stycket ovan, äga motsvarande tillämpning.</w:t>
      </w:r>
    </w:p>
    <w:p w14:paraId="214ADE5A"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conjunction with Subscription which is effected during the period pending determination of a recalculated Subscription Price and recalculated number of Shares to which each Warrant provides an entitlement to Subscribe, the provisions of item C, final paragraph above shall apply mutatis mutandis.</w:t>
      </w:r>
    </w:p>
    <w:p w14:paraId="5040F245" w14:textId="77777777" w:rsidR="008E74F5" w:rsidRPr="00BE7EA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H. Minskning av aktiekapitalet med återbetalning till aktieägarna / </w:t>
      </w:r>
      <w:r w:rsidR="008E74F5" w:rsidRPr="00616AB6">
        <w:rPr>
          <w:rFonts w:ascii="Constantia" w:hAnsi="Constantia"/>
          <w:b/>
          <w:i/>
          <w:sz w:val="21"/>
          <w:szCs w:val="21"/>
          <w:lang w:val="sv-SE"/>
        </w:rPr>
        <w:t>Reduction in the share capital with repayment to the shareholders</w:t>
      </w:r>
    </w:p>
    <w:p w14:paraId="669B172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minskning av aktiekapitalet med återbetalning till aktieägarna, tillämpas en omräknad Teckningskurs och ett omräknat antal Aktier som belöper på varje Optionsrätt.</w:t>
      </w:r>
    </w:p>
    <w:p w14:paraId="66D44E6B"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of a reduction in the share capital with repayment to the shareholders, a recalculated Subscription Price and a recalculated number of Shares provided by each Warrant shall be applied.</w:t>
      </w:r>
    </w:p>
    <w:p w14:paraId="79D1467E"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Omräkningen utförs av Bolaget enligt följande formel:</w:t>
      </w:r>
    </w:p>
    <w:p w14:paraId="6C8A57FE" w14:textId="77777777" w:rsidR="0008023B" w:rsidRPr="00BE7EA6" w:rsidRDefault="0008023B" w:rsidP="0008023B">
      <w:pPr>
        <w:rPr>
          <w:rFonts w:ascii="Constantia" w:hAnsi="Constantia"/>
          <w:i/>
          <w:sz w:val="21"/>
          <w:szCs w:val="21"/>
        </w:rPr>
      </w:pPr>
      <w:r w:rsidRPr="00BE7EA6">
        <w:rPr>
          <w:rFonts w:ascii="Constantia" w:hAnsi="Constantia"/>
          <w:i/>
          <w:sz w:val="21"/>
          <w:szCs w:val="21"/>
        </w:rPr>
        <w:t>Recalculations shall be made by the Company in accordance with the following formula:</w:t>
      </w:r>
    </w:p>
    <w:p w14:paraId="125E8DCF"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155B8D62" w14:textId="77777777" w:rsidTr="00F022E8">
        <w:tc>
          <w:tcPr>
            <w:tcW w:w="2547" w:type="dxa"/>
            <w:vAlign w:val="center"/>
          </w:tcPr>
          <w:p w14:paraId="5072EC48" w14:textId="77777777" w:rsidR="0008023B" w:rsidRPr="00BE7EA6" w:rsidRDefault="0008023B" w:rsidP="00F022E8">
            <w:pPr>
              <w:jc w:val="left"/>
              <w:rPr>
                <w:rFonts w:ascii="Constantia" w:hAnsi="Constantia"/>
                <w:sz w:val="21"/>
                <w:szCs w:val="21"/>
              </w:rPr>
            </w:pPr>
          </w:p>
        </w:tc>
        <w:tc>
          <w:tcPr>
            <w:tcW w:w="709" w:type="dxa"/>
            <w:vAlign w:val="center"/>
          </w:tcPr>
          <w:p w14:paraId="63DF54D4"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09C63E95" w14:textId="77777777" w:rsidR="0008023B" w:rsidRPr="00BE7EA6" w:rsidRDefault="0008023B" w:rsidP="00F022E8">
            <w:pPr>
              <w:jc w:val="left"/>
              <w:rPr>
                <w:rFonts w:ascii="Constantia" w:hAnsi="Constantia"/>
                <w:i/>
                <w:sz w:val="21"/>
                <w:szCs w:val="21"/>
              </w:rPr>
            </w:pPr>
            <w:r w:rsidRPr="00BE7EA6">
              <w:rPr>
                <w:rFonts w:ascii="Constantia" w:hAnsi="Constantia"/>
                <w:sz w:val="21"/>
                <w:szCs w:val="21"/>
              </w:rPr>
              <w:t>föregående Teckningskurs x Aktiens genomsnittliga betalkurs under en period om 25 handelsdagar räknat fr.o.m. den dag då Aktien noteras utan rätt till återbetalning (Aktiens genomsnittskurs</w:t>
            </w:r>
            <w:r w:rsidRPr="00BE7EA6">
              <w:rPr>
                <w:rFonts w:ascii="Constantia" w:hAnsi="Constantia"/>
                <w:i/>
                <w:sz w:val="21"/>
                <w:szCs w:val="21"/>
              </w:rPr>
              <w:t xml:space="preserve">) / </w:t>
            </w:r>
            <w:r w:rsidRPr="00B4441E">
              <w:rPr>
                <w:rFonts w:ascii="Constantia" w:hAnsi="Constantia"/>
                <w:i/>
                <w:sz w:val="21"/>
                <w:szCs w:val="21"/>
                <w:lang w:val="en-US"/>
              </w:rPr>
              <w:t>previous Subscription Price x the Share’s average listed price during a period of 25 trading days calculated commencing the day on which the Shares were listed without the right to participate in the repayment (the average price of Share)</w:t>
            </w:r>
          </w:p>
        </w:tc>
      </w:tr>
      <w:tr w:rsidR="0008023B" w:rsidRPr="00BE7EA6" w14:paraId="5B0F80E0" w14:textId="77777777" w:rsidTr="00F022E8">
        <w:trPr>
          <w:trHeight w:val="409"/>
        </w:trPr>
        <w:tc>
          <w:tcPr>
            <w:tcW w:w="2547" w:type="dxa"/>
            <w:vMerge w:val="restart"/>
            <w:vAlign w:val="center"/>
          </w:tcPr>
          <w:p w14:paraId="744BA55E"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omräknad Teckningskurs / </w:t>
            </w:r>
            <w:r w:rsidRPr="00BE7EA6">
              <w:rPr>
                <w:rFonts w:ascii="Constantia" w:hAnsi="Constantia"/>
                <w:i/>
                <w:sz w:val="21"/>
                <w:szCs w:val="21"/>
              </w:rPr>
              <w:t>recalculated Subscription Price</w:t>
            </w:r>
          </w:p>
        </w:tc>
        <w:tc>
          <w:tcPr>
            <w:tcW w:w="709" w:type="dxa"/>
            <w:vMerge w:val="restart"/>
            <w:vAlign w:val="center"/>
          </w:tcPr>
          <w:p w14:paraId="1513ECE7"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3874272B" w14:textId="77777777" w:rsidR="0008023B" w:rsidRPr="00BE7EA6" w:rsidRDefault="0008023B" w:rsidP="00F022E8">
            <w:pPr>
              <w:jc w:val="left"/>
              <w:rPr>
                <w:rFonts w:ascii="Constantia" w:hAnsi="Constantia"/>
                <w:sz w:val="21"/>
                <w:szCs w:val="21"/>
                <w:lang w:val="sv-SE"/>
              </w:rPr>
            </w:pPr>
          </w:p>
        </w:tc>
      </w:tr>
      <w:tr w:rsidR="0008023B" w:rsidRPr="008A3837" w14:paraId="63B26F53" w14:textId="77777777" w:rsidTr="00F022E8">
        <w:trPr>
          <w:trHeight w:val="509"/>
        </w:trPr>
        <w:tc>
          <w:tcPr>
            <w:tcW w:w="2547" w:type="dxa"/>
            <w:vMerge/>
            <w:vAlign w:val="center"/>
          </w:tcPr>
          <w:p w14:paraId="7CCFEC8F"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4FB32C53"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27B84817"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Aktiens genomsnittskurs ökad med det belopp som återbetalas per Aktie / </w:t>
            </w:r>
            <w:r w:rsidRPr="00BE7EA6">
              <w:rPr>
                <w:rFonts w:ascii="Constantia" w:hAnsi="Constantia"/>
                <w:i/>
                <w:sz w:val="21"/>
                <w:szCs w:val="21"/>
                <w:lang w:val="sv-SE"/>
              </w:rPr>
              <w:t>the average price of Share increased by the amount repaid per Share</w:t>
            </w:r>
          </w:p>
        </w:tc>
      </w:tr>
      <w:tr w:rsidR="0008023B" w:rsidRPr="008A3837" w14:paraId="722E9A88" w14:textId="77777777" w:rsidTr="00F022E8">
        <w:tc>
          <w:tcPr>
            <w:tcW w:w="2547" w:type="dxa"/>
            <w:vAlign w:val="center"/>
          </w:tcPr>
          <w:p w14:paraId="4F659C3E" w14:textId="77777777" w:rsidR="0008023B" w:rsidRPr="00BE7EA6" w:rsidRDefault="0008023B" w:rsidP="00F022E8">
            <w:pPr>
              <w:jc w:val="left"/>
              <w:rPr>
                <w:rFonts w:ascii="Constantia" w:hAnsi="Constantia"/>
                <w:sz w:val="21"/>
                <w:szCs w:val="21"/>
                <w:lang w:val="sv-SE"/>
              </w:rPr>
            </w:pPr>
          </w:p>
        </w:tc>
        <w:tc>
          <w:tcPr>
            <w:tcW w:w="709" w:type="dxa"/>
            <w:vAlign w:val="center"/>
          </w:tcPr>
          <w:p w14:paraId="0827CF3E" w14:textId="77777777" w:rsidR="0008023B" w:rsidRPr="00BE7EA6" w:rsidRDefault="0008023B" w:rsidP="00F022E8">
            <w:pPr>
              <w:jc w:val="left"/>
              <w:rPr>
                <w:rFonts w:ascii="Constantia" w:hAnsi="Constantia"/>
                <w:sz w:val="21"/>
                <w:szCs w:val="21"/>
                <w:lang w:val="sv-SE"/>
              </w:rPr>
            </w:pPr>
          </w:p>
        </w:tc>
        <w:tc>
          <w:tcPr>
            <w:tcW w:w="5804" w:type="dxa"/>
            <w:vMerge/>
            <w:vAlign w:val="center"/>
          </w:tcPr>
          <w:p w14:paraId="7A463365" w14:textId="77777777" w:rsidR="0008023B" w:rsidRPr="00BE7EA6" w:rsidRDefault="0008023B" w:rsidP="00F022E8">
            <w:pPr>
              <w:jc w:val="left"/>
              <w:rPr>
                <w:rFonts w:ascii="Constantia" w:hAnsi="Constantia"/>
                <w:sz w:val="21"/>
                <w:szCs w:val="21"/>
                <w:lang w:val="sv-SE"/>
              </w:rPr>
            </w:pPr>
          </w:p>
        </w:tc>
      </w:tr>
    </w:tbl>
    <w:p w14:paraId="00EB4287" w14:textId="77777777" w:rsidR="0008023B" w:rsidRPr="00BE7EA6" w:rsidRDefault="0008023B" w:rsidP="0008023B">
      <w:pPr>
        <w:rPr>
          <w:rFonts w:ascii="Constantia" w:hAnsi="Constantia"/>
          <w:sz w:val="21"/>
          <w:szCs w:val="21"/>
          <w:lang w:val="sv-SE"/>
        </w:rPr>
      </w:pPr>
    </w:p>
    <w:p w14:paraId="5C63F6E7" w14:textId="77777777" w:rsidR="0008023B" w:rsidRPr="00BE7EA6" w:rsidRDefault="0008023B" w:rsidP="0008023B">
      <w:pPr>
        <w:rPr>
          <w:rFonts w:ascii="Constantia" w:hAnsi="Constantia"/>
          <w:sz w:val="21"/>
          <w:szCs w:val="21"/>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8A3837" w14:paraId="6C498D66" w14:textId="77777777" w:rsidTr="00F022E8">
        <w:tc>
          <w:tcPr>
            <w:tcW w:w="2547" w:type="dxa"/>
            <w:vAlign w:val="center"/>
          </w:tcPr>
          <w:p w14:paraId="0203EF2A" w14:textId="77777777" w:rsidR="0008023B" w:rsidRPr="00BE7EA6" w:rsidRDefault="0008023B" w:rsidP="00F022E8">
            <w:pPr>
              <w:jc w:val="left"/>
              <w:rPr>
                <w:rFonts w:ascii="Constantia" w:hAnsi="Constantia"/>
                <w:sz w:val="21"/>
                <w:szCs w:val="21"/>
                <w:lang w:val="sv-SE"/>
              </w:rPr>
            </w:pPr>
          </w:p>
        </w:tc>
        <w:tc>
          <w:tcPr>
            <w:tcW w:w="709" w:type="dxa"/>
            <w:vAlign w:val="center"/>
          </w:tcPr>
          <w:p w14:paraId="6BFAC4C5" w14:textId="77777777" w:rsidR="0008023B" w:rsidRPr="00BE7EA6" w:rsidRDefault="0008023B" w:rsidP="00F022E8">
            <w:pPr>
              <w:jc w:val="left"/>
              <w:rPr>
                <w:rFonts w:ascii="Constantia" w:hAnsi="Constantia"/>
                <w:sz w:val="21"/>
                <w:szCs w:val="21"/>
                <w:lang w:val="sv-SE"/>
              </w:rPr>
            </w:pPr>
          </w:p>
        </w:tc>
        <w:tc>
          <w:tcPr>
            <w:tcW w:w="5804" w:type="dxa"/>
            <w:vMerge w:val="restart"/>
            <w:tcBorders>
              <w:bottom w:val="single" w:sz="4" w:space="0" w:color="auto"/>
            </w:tcBorders>
            <w:vAlign w:val="center"/>
          </w:tcPr>
          <w:p w14:paraId="0E5BA159"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föregående antal Aktier som varje Optionsrätt ger rätt att teckna x Aktiens genomsnittskurs ökad med det belopp som återbetalas per Aktie /</w:t>
            </w:r>
            <w:r w:rsidRPr="00616AB6">
              <w:rPr>
                <w:rFonts w:ascii="Constantia" w:hAnsi="Constantia"/>
                <w:sz w:val="21"/>
                <w:szCs w:val="21"/>
                <w:lang w:val="sv-SE"/>
              </w:rPr>
              <w:t xml:space="preserve"> </w:t>
            </w:r>
            <w:r w:rsidRPr="00616AB6">
              <w:rPr>
                <w:rFonts w:ascii="Constantia" w:hAnsi="Constantia"/>
                <w:i/>
                <w:sz w:val="21"/>
                <w:szCs w:val="21"/>
                <w:lang w:val="sv-SE"/>
              </w:rPr>
              <w:t xml:space="preserve">previous number of Shares to which each Warrant provides an entitlement to </w:t>
            </w:r>
            <w:r w:rsidR="00C9479C" w:rsidRPr="00616AB6">
              <w:rPr>
                <w:rFonts w:ascii="Constantia" w:hAnsi="Constantia"/>
                <w:i/>
                <w:sz w:val="21"/>
                <w:szCs w:val="21"/>
                <w:lang w:val="sv-SE"/>
              </w:rPr>
              <w:t>s</w:t>
            </w:r>
            <w:r w:rsidRPr="00616AB6">
              <w:rPr>
                <w:rFonts w:ascii="Constantia" w:hAnsi="Constantia"/>
                <w:i/>
                <w:sz w:val="21"/>
                <w:szCs w:val="21"/>
                <w:lang w:val="sv-SE"/>
              </w:rPr>
              <w:t>ubscribe x the average price of Share increased by the amount repaid per Share</w:t>
            </w:r>
          </w:p>
        </w:tc>
      </w:tr>
      <w:tr w:rsidR="0008023B" w:rsidRPr="00BE7EA6" w14:paraId="6ACF82F2" w14:textId="77777777" w:rsidTr="00F022E8">
        <w:trPr>
          <w:trHeight w:val="409"/>
        </w:trPr>
        <w:tc>
          <w:tcPr>
            <w:tcW w:w="2547" w:type="dxa"/>
            <w:vMerge w:val="restart"/>
            <w:vAlign w:val="center"/>
          </w:tcPr>
          <w:p w14:paraId="5CC2797D"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omräknat antal Aktier som varje Optionsrätt ger rätt att teckna / recalculated number of Shares that each Warrant entitles to </w:t>
            </w:r>
            <w:r w:rsidR="00C9479C" w:rsidRPr="00BE7EA6">
              <w:rPr>
                <w:rFonts w:ascii="Constantia" w:hAnsi="Constantia"/>
                <w:sz w:val="21"/>
                <w:szCs w:val="21"/>
                <w:lang w:val="sv-SE"/>
              </w:rPr>
              <w:t>s</w:t>
            </w:r>
            <w:r w:rsidRPr="00BE7EA6">
              <w:rPr>
                <w:rFonts w:ascii="Constantia" w:hAnsi="Constantia"/>
                <w:sz w:val="21"/>
                <w:szCs w:val="21"/>
                <w:lang w:val="sv-SE"/>
              </w:rPr>
              <w:t>ubscribe for</w:t>
            </w:r>
          </w:p>
        </w:tc>
        <w:tc>
          <w:tcPr>
            <w:tcW w:w="709" w:type="dxa"/>
            <w:vMerge w:val="restart"/>
            <w:vAlign w:val="center"/>
          </w:tcPr>
          <w:p w14:paraId="2BBB9EEE"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57CCE73A" w14:textId="77777777" w:rsidR="0008023B" w:rsidRPr="00BE7EA6" w:rsidRDefault="0008023B" w:rsidP="00F022E8">
            <w:pPr>
              <w:jc w:val="left"/>
              <w:rPr>
                <w:rFonts w:ascii="Constantia" w:hAnsi="Constantia"/>
                <w:sz w:val="21"/>
                <w:szCs w:val="21"/>
                <w:lang w:val="sv-SE"/>
              </w:rPr>
            </w:pPr>
          </w:p>
        </w:tc>
      </w:tr>
      <w:tr w:rsidR="0008023B" w:rsidRPr="00BE7EA6" w14:paraId="5716B320" w14:textId="77777777" w:rsidTr="00F022E8">
        <w:trPr>
          <w:trHeight w:val="509"/>
        </w:trPr>
        <w:tc>
          <w:tcPr>
            <w:tcW w:w="2547" w:type="dxa"/>
            <w:vMerge/>
            <w:vAlign w:val="center"/>
          </w:tcPr>
          <w:p w14:paraId="35DF66D1"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56781ECA" w14:textId="77777777" w:rsidR="0008023B" w:rsidRPr="00BE7EA6" w:rsidRDefault="0008023B" w:rsidP="00F022E8">
            <w:pPr>
              <w:jc w:val="left"/>
              <w:rPr>
                <w:rFonts w:ascii="Constantia" w:hAnsi="Constantia"/>
                <w:sz w:val="21"/>
                <w:szCs w:val="21"/>
                <w:lang w:val="sv-SE"/>
              </w:rPr>
            </w:pPr>
          </w:p>
        </w:tc>
        <w:tc>
          <w:tcPr>
            <w:tcW w:w="5804" w:type="dxa"/>
            <w:tcBorders>
              <w:top w:val="single" w:sz="4" w:space="0" w:color="auto"/>
            </w:tcBorders>
            <w:vAlign w:val="center"/>
          </w:tcPr>
          <w:p w14:paraId="5942146E"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Aktiens genomsnittskurs / </w:t>
            </w:r>
            <w:r w:rsidRPr="00842C0F">
              <w:rPr>
                <w:rFonts w:ascii="Constantia" w:hAnsi="Constantia"/>
                <w:i/>
                <w:iCs/>
                <w:sz w:val="21"/>
                <w:szCs w:val="21"/>
                <w:lang w:val="sv-SE"/>
              </w:rPr>
              <w:t>average price of Share</w:t>
            </w:r>
          </w:p>
        </w:tc>
      </w:tr>
    </w:tbl>
    <w:p w14:paraId="1CE2B36F"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 </w:t>
      </w:r>
    </w:p>
    <w:p w14:paraId="400A76E0"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Aktiens genomsnittskurs beräknas i enlighet med punkt C ovan.</w:t>
      </w:r>
    </w:p>
    <w:p w14:paraId="6C7F4923"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average price of Share is calculated in accordance with item C above.</w:t>
      </w:r>
    </w:p>
    <w:p w14:paraId="6A25B4C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omräkning enligt ovan och där minskningen sker genom inlösen av Aktier ska i stället för det faktiska belopp som återbetalas per Aktie ett beräknat återbetalningsbelopp användas enligt följande:</w:t>
      </w:r>
    </w:p>
    <w:p w14:paraId="43953A3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making a recalculation pursuant to the above where the reduction takes place through redemption of Shares, instead of using the actual amount which is repaid per Share a calculated repayment amount shall be used as follows:</w:t>
      </w:r>
    </w:p>
    <w:p w14:paraId="4EE83157" w14:textId="77777777" w:rsidR="0008023B" w:rsidRPr="00BE7EA6" w:rsidRDefault="0008023B" w:rsidP="0008023B">
      <w:pPr>
        <w:rPr>
          <w:rFonts w:ascii="Constantia" w:hAnsi="Constanti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
        <w:gridCol w:w="5804"/>
      </w:tblGrid>
      <w:tr w:rsidR="0008023B" w:rsidRPr="00BE7EA6" w14:paraId="6FCFBDE6" w14:textId="77777777" w:rsidTr="00F022E8">
        <w:tc>
          <w:tcPr>
            <w:tcW w:w="2547" w:type="dxa"/>
            <w:vAlign w:val="center"/>
          </w:tcPr>
          <w:p w14:paraId="3CB9C81F" w14:textId="77777777" w:rsidR="0008023B" w:rsidRPr="00BE7EA6" w:rsidRDefault="0008023B" w:rsidP="00F022E8">
            <w:pPr>
              <w:jc w:val="left"/>
              <w:rPr>
                <w:rFonts w:ascii="Constantia" w:hAnsi="Constantia"/>
                <w:sz w:val="21"/>
                <w:szCs w:val="21"/>
              </w:rPr>
            </w:pPr>
          </w:p>
        </w:tc>
        <w:tc>
          <w:tcPr>
            <w:tcW w:w="709" w:type="dxa"/>
            <w:vAlign w:val="center"/>
          </w:tcPr>
          <w:p w14:paraId="3E3F2E38" w14:textId="77777777" w:rsidR="0008023B" w:rsidRPr="00BE7EA6" w:rsidRDefault="0008023B" w:rsidP="00F022E8">
            <w:pPr>
              <w:jc w:val="left"/>
              <w:rPr>
                <w:rFonts w:ascii="Constantia" w:hAnsi="Constantia"/>
                <w:sz w:val="21"/>
                <w:szCs w:val="21"/>
              </w:rPr>
            </w:pPr>
          </w:p>
        </w:tc>
        <w:tc>
          <w:tcPr>
            <w:tcW w:w="5804" w:type="dxa"/>
            <w:vMerge w:val="restart"/>
            <w:tcBorders>
              <w:bottom w:val="single" w:sz="4" w:space="0" w:color="auto"/>
            </w:tcBorders>
            <w:vAlign w:val="center"/>
          </w:tcPr>
          <w:p w14:paraId="18DCF5D5" w14:textId="77777777" w:rsidR="0008023B" w:rsidRPr="00BE7EA6" w:rsidRDefault="0008023B" w:rsidP="00F022E8">
            <w:pPr>
              <w:jc w:val="left"/>
              <w:rPr>
                <w:rFonts w:ascii="Constantia" w:hAnsi="Constantia"/>
                <w:sz w:val="21"/>
                <w:szCs w:val="21"/>
              </w:rPr>
            </w:pPr>
            <w:r w:rsidRPr="00BE7EA6">
              <w:rPr>
                <w:rFonts w:ascii="Constantia" w:hAnsi="Constantia"/>
                <w:sz w:val="21"/>
                <w:szCs w:val="21"/>
              </w:rPr>
              <w:t xml:space="preserve">det faktiska belopp som återbetalas per inlöst Aktie minskat med Aktiens genomsnittliga betalkurs under en period om 25 handelsdagar närmast före den dag då Aktien noteras utan rätt till deltagande i nedsättningen (Aktiens genomsnittskurs) / </w:t>
            </w:r>
            <w:r w:rsidRPr="00B4441E">
              <w:rPr>
                <w:rFonts w:ascii="Constantia" w:hAnsi="Constantia"/>
                <w:i/>
                <w:sz w:val="21"/>
                <w:szCs w:val="21"/>
                <w:lang w:val="en-US"/>
              </w:rPr>
              <w:t>the actual amount that has been repaid per redeemed Share reduced by the average Share price of the Shares during a 25 day period immediately prior to the day the Share is quoted without the right to participate in the reduction (the average price of Share)</w:t>
            </w:r>
          </w:p>
        </w:tc>
      </w:tr>
      <w:tr w:rsidR="0008023B" w:rsidRPr="00BE7EA6" w14:paraId="333EB25A" w14:textId="77777777" w:rsidTr="00F022E8">
        <w:trPr>
          <w:trHeight w:val="409"/>
        </w:trPr>
        <w:tc>
          <w:tcPr>
            <w:tcW w:w="2547" w:type="dxa"/>
            <w:vMerge w:val="restart"/>
            <w:vAlign w:val="center"/>
          </w:tcPr>
          <w:p w14:paraId="0FB51260"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beräknat återbetalningsbelopp per Aktie / c</w:t>
            </w:r>
            <w:r w:rsidRPr="00BE7EA6">
              <w:rPr>
                <w:rFonts w:ascii="Constantia" w:hAnsi="Constantia"/>
                <w:i/>
                <w:sz w:val="21"/>
                <w:szCs w:val="21"/>
                <w:lang w:val="sv-SE"/>
              </w:rPr>
              <w:t>alculated repayment per Share</w:t>
            </w:r>
          </w:p>
        </w:tc>
        <w:tc>
          <w:tcPr>
            <w:tcW w:w="709" w:type="dxa"/>
            <w:vMerge w:val="restart"/>
            <w:vAlign w:val="center"/>
          </w:tcPr>
          <w:p w14:paraId="308E9D0E"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w:t>
            </w:r>
          </w:p>
        </w:tc>
        <w:tc>
          <w:tcPr>
            <w:tcW w:w="5804" w:type="dxa"/>
            <w:vMerge/>
            <w:tcBorders>
              <w:bottom w:val="single" w:sz="4" w:space="0" w:color="auto"/>
            </w:tcBorders>
            <w:vAlign w:val="center"/>
          </w:tcPr>
          <w:p w14:paraId="6A2BF40E" w14:textId="77777777" w:rsidR="0008023B" w:rsidRPr="00BE7EA6" w:rsidRDefault="0008023B" w:rsidP="00F022E8">
            <w:pPr>
              <w:jc w:val="left"/>
              <w:rPr>
                <w:rFonts w:ascii="Constantia" w:hAnsi="Constantia"/>
                <w:sz w:val="21"/>
                <w:szCs w:val="21"/>
                <w:lang w:val="sv-SE"/>
              </w:rPr>
            </w:pPr>
          </w:p>
        </w:tc>
      </w:tr>
      <w:tr w:rsidR="0008023B" w:rsidRPr="008A3837" w14:paraId="2B3ACA3D" w14:textId="77777777" w:rsidTr="00F022E8">
        <w:trPr>
          <w:trHeight w:val="509"/>
        </w:trPr>
        <w:tc>
          <w:tcPr>
            <w:tcW w:w="2547" w:type="dxa"/>
            <w:vMerge/>
            <w:vAlign w:val="center"/>
          </w:tcPr>
          <w:p w14:paraId="074CE471" w14:textId="77777777" w:rsidR="0008023B" w:rsidRPr="00BE7EA6" w:rsidRDefault="0008023B" w:rsidP="00F022E8">
            <w:pPr>
              <w:jc w:val="left"/>
              <w:rPr>
                <w:rFonts w:ascii="Constantia" w:hAnsi="Constantia"/>
                <w:sz w:val="21"/>
                <w:szCs w:val="21"/>
                <w:lang w:val="sv-SE"/>
              </w:rPr>
            </w:pPr>
          </w:p>
        </w:tc>
        <w:tc>
          <w:tcPr>
            <w:tcW w:w="709" w:type="dxa"/>
            <w:vMerge/>
            <w:vAlign w:val="center"/>
          </w:tcPr>
          <w:p w14:paraId="2BE469F1" w14:textId="77777777" w:rsidR="0008023B" w:rsidRPr="00BE7EA6" w:rsidRDefault="0008023B" w:rsidP="00F022E8">
            <w:pPr>
              <w:jc w:val="left"/>
              <w:rPr>
                <w:rFonts w:ascii="Constantia" w:hAnsi="Constantia"/>
                <w:sz w:val="21"/>
                <w:szCs w:val="21"/>
                <w:lang w:val="sv-SE"/>
              </w:rPr>
            </w:pPr>
          </w:p>
        </w:tc>
        <w:tc>
          <w:tcPr>
            <w:tcW w:w="5804" w:type="dxa"/>
            <w:vMerge w:val="restart"/>
            <w:tcBorders>
              <w:top w:val="single" w:sz="4" w:space="0" w:color="auto"/>
            </w:tcBorders>
            <w:vAlign w:val="center"/>
          </w:tcPr>
          <w:p w14:paraId="74C10070" w14:textId="77777777" w:rsidR="0008023B" w:rsidRPr="00BE7EA6" w:rsidRDefault="0008023B" w:rsidP="00F022E8">
            <w:pPr>
              <w:jc w:val="left"/>
              <w:rPr>
                <w:rFonts w:ascii="Constantia" w:hAnsi="Constantia"/>
                <w:sz w:val="21"/>
                <w:szCs w:val="21"/>
                <w:lang w:val="sv-SE"/>
              </w:rPr>
            </w:pPr>
            <w:r w:rsidRPr="00BE7EA6">
              <w:rPr>
                <w:rFonts w:ascii="Constantia" w:hAnsi="Constantia"/>
                <w:sz w:val="21"/>
                <w:szCs w:val="21"/>
                <w:lang w:val="sv-SE"/>
              </w:rPr>
              <w:t xml:space="preserve">det antal Aktier i Bolaget som ligger till grund för inlösen av en Aktie minskat med talet 1 / </w:t>
            </w:r>
            <w:r w:rsidRPr="00616AB6">
              <w:rPr>
                <w:rFonts w:ascii="Constantia" w:hAnsi="Constantia"/>
                <w:i/>
                <w:sz w:val="21"/>
                <w:szCs w:val="21"/>
                <w:lang w:val="sv-SE"/>
              </w:rPr>
              <w:t>the number of Shares in the Company that serves as basis for the redemption of Shares reduced with the number 1</w:t>
            </w:r>
          </w:p>
        </w:tc>
      </w:tr>
      <w:tr w:rsidR="0008023B" w:rsidRPr="008A3837" w14:paraId="7B4181AE" w14:textId="77777777" w:rsidTr="00F022E8">
        <w:tc>
          <w:tcPr>
            <w:tcW w:w="2547" w:type="dxa"/>
            <w:vAlign w:val="center"/>
          </w:tcPr>
          <w:p w14:paraId="096D6240" w14:textId="77777777" w:rsidR="0008023B" w:rsidRPr="00BE7EA6" w:rsidRDefault="0008023B" w:rsidP="00F022E8">
            <w:pPr>
              <w:jc w:val="left"/>
              <w:rPr>
                <w:rFonts w:ascii="Constantia" w:hAnsi="Constantia"/>
                <w:sz w:val="21"/>
                <w:szCs w:val="21"/>
                <w:lang w:val="sv-SE"/>
              </w:rPr>
            </w:pPr>
          </w:p>
        </w:tc>
        <w:tc>
          <w:tcPr>
            <w:tcW w:w="709" w:type="dxa"/>
            <w:vAlign w:val="center"/>
          </w:tcPr>
          <w:p w14:paraId="445EEDCB" w14:textId="77777777" w:rsidR="0008023B" w:rsidRPr="00BE7EA6" w:rsidRDefault="0008023B" w:rsidP="00F022E8">
            <w:pPr>
              <w:jc w:val="left"/>
              <w:rPr>
                <w:rFonts w:ascii="Constantia" w:hAnsi="Constantia"/>
                <w:sz w:val="21"/>
                <w:szCs w:val="21"/>
                <w:lang w:val="sv-SE"/>
              </w:rPr>
            </w:pPr>
          </w:p>
        </w:tc>
        <w:tc>
          <w:tcPr>
            <w:tcW w:w="5804" w:type="dxa"/>
            <w:vMerge/>
            <w:vAlign w:val="center"/>
          </w:tcPr>
          <w:p w14:paraId="08D55599" w14:textId="77777777" w:rsidR="0008023B" w:rsidRPr="00BE7EA6" w:rsidRDefault="0008023B" w:rsidP="00F022E8">
            <w:pPr>
              <w:jc w:val="left"/>
              <w:rPr>
                <w:rFonts w:ascii="Constantia" w:hAnsi="Constantia"/>
                <w:sz w:val="21"/>
                <w:szCs w:val="21"/>
                <w:lang w:val="sv-SE"/>
              </w:rPr>
            </w:pPr>
          </w:p>
        </w:tc>
      </w:tr>
    </w:tbl>
    <w:p w14:paraId="1B18EBC5"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 </w:t>
      </w:r>
    </w:p>
    <w:p w14:paraId="2619AC46"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Aktiens genomsnittskurs beräknas i enlighet med punkt C ovan.</w:t>
      </w:r>
    </w:p>
    <w:p w14:paraId="41F2CCC0"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average price of Share is calculated in accordance with item C above.</w:t>
      </w:r>
    </w:p>
    <w:p w14:paraId="1AA5BAFE"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Den omräknade Teckningskursen och det omräknade antalet Aktier som belöper på varje Optionsrätt fastställs av Bolaget två Bankdagar efter utgången av den angivna perioden om 25 handelsdagar och tillämpas vid Teckning som verkställs därefter.</w:t>
      </w:r>
    </w:p>
    <w:p w14:paraId="6303628F"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The recalculated Subscription Price and the recalculated number of Shares provided by each Warrant shall be determined by the Company two </w:t>
      </w:r>
      <w:r w:rsidR="00BF5340" w:rsidRPr="00B4441E">
        <w:rPr>
          <w:rFonts w:ascii="Constantia" w:hAnsi="Constantia"/>
          <w:i/>
          <w:sz w:val="21"/>
          <w:szCs w:val="21"/>
          <w:lang w:val="en-US"/>
        </w:rPr>
        <w:t>Banking Day</w:t>
      </w:r>
      <w:r w:rsidRPr="00B4441E">
        <w:rPr>
          <w:rFonts w:ascii="Constantia" w:hAnsi="Constantia"/>
          <w:i/>
          <w:sz w:val="21"/>
          <w:szCs w:val="21"/>
          <w:lang w:val="en-US"/>
        </w:rPr>
        <w:t>s after the expiry of the stated period of 25 trading days and shall be applied to Subscriptions effected thereafter.</w:t>
      </w:r>
    </w:p>
    <w:p w14:paraId="13E9024F"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Teckning som verkställs under tiden till dess att omräknad Teckningskurs och omräknat antal Aktier varje Optionsrätt berättigar till Teckning av fastställts, ska bestämmelserna i punkt C, sista stycket ovan, äga motsvarande tillämpning.</w:t>
      </w:r>
    </w:p>
    <w:p w14:paraId="6D0A5BED" w14:textId="77777777" w:rsidR="0008023B" w:rsidRPr="00B4441E" w:rsidRDefault="0008023B" w:rsidP="0008023B">
      <w:pPr>
        <w:rPr>
          <w:rFonts w:ascii="Constantia" w:hAnsi="Constantia"/>
          <w:i/>
          <w:sz w:val="21"/>
          <w:szCs w:val="21"/>
          <w:highlight w:val="cyan"/>
          <w:lang w:val="en-US"/>
        </w:rPr>
      </w:pPr>
      <w:r w:rsidRPr="00B4441E">
        <w:rPr>
          <w:rFonts w:ascii="Constantia" w:hAnsi="Constantia"/>
          <w:i/>
          <w:sz w:val="21"/>
          <w:szCs w:val="21"/>
          <w:lang w:val="en-US"/>
        </w:rPr>
        <w:t>In conjunction with Subscriptions which are effected during the period pending determination of a recalculated Subscription Price and recalculated number of Shares to which each Warrant provides an entitlement to Subscribe, the provisions of item C, final paragraph above, shall apply mutatis mutandis.</w:t>
      </w:r>
    </w:p>
    <w:p w14:paraId="41757B06"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52FD6C9F" w14:textId="77777777" w:rsidR="0008023B" w:rsidRPr="00B4441E" w:rsidRDefault="0008023B" w:rsidP="0008023B">
      <w:pPr>
        <w:rPr>
          <w:rFonts w:ascii="Constantia" w:hAnsi="Constantia"/>
          <w:i/>
          <w:sz w:val="21"/>
          <w:szCs w:val="21"/>
          <w:highlight w:val="cyan"/>
          <w:lang w:val="en-US"/>
        </w:rPr>
      </w:pPr>
      <w:r w:rsidRPr="00B4441E">
        <w:rPr>
          <w:rFonts w:ascii="Constantia" w:hAnsi="Constantia"/>
          <w:i/>
          <w:sz w:val="21"/>
          <w:szCs w:val="21"/>
          <w:lang w:val="en-US"/>
        </w:rPr>
        <w:t xml:space="preserve">In the event the Company’s shares are not listed or traded on a Market Place, a recalculated Subscription Price and recalculated number of Shares shall be determined. In lieu of the provisions regarding the average Share price, the value of the Shares shall thereupon be determined by an independent valuer appointed by the Company. </w:t>
      </w:r>
    </w:p>
    <w:p w14:paraId="5F3CE8A0"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3EB52C4C" w14:textId="77777777" w:rsidR="0008023B" w:rsidRPr="00B4441E" w:rsidRDefault="0008023B" w:rsidP="0008023B">
      <w:pPr>
        <w:rPr>
          <w:rFonts w:ascii="Constantia" w:hAnsi="Constantia"/>
          <w:i/>
          <w:sz w:val="21"/>
          <w:szCs w:val="21"/>
          <w:highlight w:val="cyan"/>
          <w:lang w:val="en-US"/>
        </w:rPr>
      </w:pPr>
      <w:r w:rsidRPr="00B4441E">
        <w:rPr>
          <w:rFonts w:ascii="Constantia" w:hAnsi="Constantia"/>
          <w:i/>
          <w:sz w:val="21"/>
          <w:szCs w:val="21"/>
          <w:lang w:val="en-US"/>
        </w:rPr>
        <w:t>If the share capital of the Company is reduced by redemption of Shares with repayment to the shareholders, which reduction is not mandatory, or if the Company – without it being a question of reduction of the share capital – would repurchase treasury shares but, in the opinion of the Company, such repurchase with regard to its technical framing and economic effects should be equated with a reduction which is mandatory, a recalculation of the Subscription Price and the number of Shares that each Warrant entitles the Warrant Holder to Subscribe for shall be made by the Company, to the extent possible by the application of the principles stated above.</w:t>
      </w:r>
    </w:p>
    <w:p w14:paraId="47714836" w14:textId="77777777" w:rsidR="0008023B" w:rsidRPr="00BE7EA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I. Ändamålsenlig omräkning / </w:t>
      </w:r>
      <w:r w:rsidRPr="00616AB6">
        <w:rPr>
          <w:rFonts w:ascii="Constantia" w:hAnsi="Constantia"/>
          <w:b/>
          <w:i/>
          <w:sz w:val="21"/>
          <w:szCs w:val="21"/>
          <w:lang w:val="sv-SE"/>
        </w:rPr>
        <w:t>Appropriate recalculation</w:t>
      </w:r>
    </w:p>
    <w:p w14:paraId="5FEC08F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7D210BA0"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of the Company carries out any measure as referred to in item A-E, G, H or M and where, in the Company’s board’s opinion, in light of the technical structure of the measure or for any other reason, application of the prescribed recalculation formula cannot take place or results in the financial compensation received by the Warrant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77C7EACA" w14:textId="77777777" w:rsidR="0008023B" w:rsidRPr="00BE7EA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J. Avrundning / </w:t>
      </w:r>
      <w:r w:rsidR="0096325C" w:rsidRPr="00616AB6">
        <w:rPr>
          <w:rFonts w:ascii="Constantia" w:hAnsi="Constantia"/>
          <w:b/>
          <w:i/>
          <w:sz w:val="21"/>
          <w:szCs w:val="21"/>
          <w:lang w:val="sv-SE"/>
        </w:rPr>
        <w:t>R</w:t>
      </w:r>
      <w:r w:rsidRPr="00616AB6">
        <w:rPr>
          <w:rFonts w:ascii="Constantia" w:hAnsi="Constantia"/>
          <w:b/>
          <w:i/>
          <w:sz w:val="21"/>
          <w:szCs w:val="21"/>
          <w:lang w:val="sv-SE"/>
        </w:rPr>
        <w:t>ounding</w:t>
      </w:r>
    </w:p>
    <w:p w14:paraId="4B87365A"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För fastställande av omräknad Teckningskurs ska Teckningskursen avrundas till två decimaler.</w:t>
      </w:r>
    </w:p>
    <w:p w14:paraId="1D3CF4FD"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For the determination of recalculated Subscription Price, the Subscription Price shall be rounded to two decimal places.</w:t>
      </w:r>
    </w:p>
    <w:p w14:paraId="468F3CAA" w14:textId="77777777" w:rsidR="0008023B" w:rsidRPr="00BE7EA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K. Likvidation / </w:t>
      </w:r>
      <w:r w:rsidRPr="00616AB6">
        <w:rPr>
          <w:rFonts w:ascii="Constantia" w:hAnsi="Constantia"/>
          <w:b/>
          <w:i/>
          <w:sz w:val="21"/>
          <w:szCs w:val="21"/>
          <w:lang w:val="sv-SE"/>
        </w:rPr>
        <w:t>Liquidation</w:t>
      </w:r>
    </w:p>
    <w:p w14:paraId="00172CCA"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likvidation enligt 25 kap aktiebolagslagen får Teckning inte vidare verkställas. Det gäller oavsett likvidationsgrunden och oberoende av om beslutet att Bolaget ska träda i likvidation vunnit laga kraft eller inte.</w:t>
      </w:r>
    </w:p>
    <w:p w14:paraId="141DEB7F" w14:textId="77777777" w:rsidR="0008023B" w:rsidRPr="00BE7EA6" w:rsidRDefault="0008023B" w:rsidP="0008023B">
      <w:pPr>
        <w:rPr>
          <w:rFonts w:ascii="Constantia" w:hAnsi="Constantia"/>
          <w:i/>
          <w:sz w:val="21"/>
          <w:szCs w:val="21"/>
        </w:rPr>
      </w:pPr>
      <w:r w:rsidRPr="00BE7EA6">
        <w:rPr>
          <w:rFonts w:ascii="Constantia" w:hAnsi="Constantia"/>
          <w:i/>
          <w:sz w:val="21"/>
          <w:szCs w:val="21"/>
        </w:rPr>
        <w:t>In the event of liquidation pursuant to Chapter 25 of the Swedish Companies Act, no further Subscription may be effected. The aforesaid shall apply irrespective of the reasons for the liquidation and irrespective of whether or not the order that the Company be placed into liquidation has become final.</w:t>
      </w:r>
    </w:p>
    <w:p w14:paraId="5AE01DC2"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62E292E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Simultaneously with the notice convening the shareholders’ meeting and prior to the shareholders’ meeting is to consider the issue of whether the Company is to be placed into voluntary liquidation pursuant to Chapter 25, section 1, of the Swedish Companies Act, the Warrant Holders shall be given notice thereof by the Company in accordance with section 9 below. The notice shall inform the Warrant Holders that Subscription may not be effected after the shareholders’ meeting has adopted a resolution regarding liquidation.</w:t>
      </w:r>
    </w:p>
    <w:p w14:paraId="292B9AF7"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08E4BBCB"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 gives notice that it is considering entering into voluntary liquidation, notwithstanding the provisions of section 3 regarding the earliest date for demanding Subscription, the Warrant Holders shall be entitled to apply for Subscription for Shares through exercise of Warrants commencing the day on which notice is given. However, the aforesaid shall apply only where Subscription can be effected not later than the tenth calendar day prior to the shareholders’ meeting at which the issue of the Company’s liquidation is to be addressed.</w:t>
      </w:r>
    </w:p>
    <w:p w14:paraId="4A0507DA" w14:textId="77777777" w:rsidR="0008023B" w:rsidRPr="00BE7EA6" w:rsidRDefault="0008023B" w:rsidP="0008023B">
      <w:pPr>
        <w:keepNext/>
        <w:rPr>
          <w:rFonts w:ascii="Constantia" w:hAnsi="Constantia"/>
          <w:b/>
          <w:i/>
          <w:sz w:val="21"/>
          <w:szCs w:val="21"/>
          <w:lang w:val="sv-SE"/>
        </w:rPr>
      </w:pPr>
      <w:r w:rsidRPr="00BE7EA6">
        <w:rPr>
          <w:rFonts w:ascii="Constantia" w:hAnsi="Constantia"/>
          <w:b/>
          <w:i/>
          <w:sz w:val="21"/>
          <w:szCs w:val="21"/>
          <w:lang w:val="sv-SE"/>
        </w:rPr>
        <w:t>L. Fusion / Merger</w:t>
      </w:r>
    </w:p>
    <w:p w14:paraId="3E0B1D5F" w14:textId="77777777" w:rsidR="0008023B" w:rsidRPr="00BE7EA6" w:rsidRDefault="0008023B" w:rsidP="0008023B">
      <w:pPr>
        <w:keepNext/>
        <w:rPr>
          <w:rFonts w:ascii="Constantia" w:hAnsi="Constantia"/>
          <w:sz w:val="21"/>
          <w:szCs w:val="21"/>
          <w:lang w:val="sv-SE"/>
        </w:rPr>
      </w:pPr>
      <w:r w:rsidRPr="00BE7EA6">
        <w:rPr>
          <w:rFonts w:ascii="Constantia" w:hAnsi="Constantia"/>
          <w:sz w:val="21"/>
          <w:szCs w:val="21"/>
          <w:lang w:val="sv-SE"/>
        </w:rPr>
        <w:t>Skulle bolagsstämman godkänna fusionsplan, enligt 23 kap 15 § aktiebolagslagen, varigenom Bolaget ska uppgå i annat bolag, får påkallande av Teckning därefter inte ske.</w:t>
      </w:r>
    </w:p>
    <w:p w14:paraId="4B72A3EC"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shareholders’ meeting approves a merger plan pursuant to Chapter 23, section 15, of the Swedish Companies Act whereby the Company is to be merged in another company, Subscription may thereafter not be demanded.</w:t>
      </w:r>
    </w:p>
    <w:p w14:paraId="0807697B"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1F6657DF"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Not later than two months prior the shareholders’ meeting which is to consider the issue of approving the above merger, the Warrant Holders shall be given notice thereof in accordance with section 9 below. The notice shall contain information about the merger plan and information that Subscription may not be effected after the shareholders’ meeting has adopted a resolution regarding the merger in accordance with the paragraph above.</w:t>
      </w:r>
    </w:p>
    <w:p w14:paraId="3445C4BA"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7398EEA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 gives notice of a proposed merger in accordance with the above, Warrant Holders shall be entitled to apply for Subscription commencing the date on which notice of the proposed merger was given, provided that Subscription can be effected not later than three weeks prior to the date of the shareholders’ meeting at which the merger plan whereby the Company is to be merged in another company is to be approved.</w:t>
      </w:r>
    </w:p>
    <w:p w14:paraId="4D09849E"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Upprättar Bolagets styrelse en fusionsplan enligt 23 kap 28 § aktiebolagslagen, varigenom Bolaget ska uppgå i annat bolag, ska följande gälla.</w:t>
      </w:r>
    </w:p>
    <w:p w14:paraId="01318189"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following shall apply if the Company’s board of directors prepares a merger plan pursuant to Chapter 23, section 28, of the Swedish Companies Act, whereby the Company is to be merged in another company.</w:t>
      </w:r>
    </w:p>
    <w:p w14:paraId="634319F7" w14:textId="77777777" w:rsidR="0008023B" w:rsidRPr="00BE7EA6" w:rsidRDefault="0008023B" w:rsidP="0008023B">
      <w:pPr>
        <w:rPr>
          <w:rFonts w:ascii="Constantia" w:hAnsi="Constantia"/>
          <w:sz w:val="21"/>
          <w:szCs w:val="21"/>
        </w:rPr>
      </w:pPr>
      <w:r w:rsidRPr="00BE7EA6">
        <w:rPr>
          <w:rFonts w:ascii="Constantia" w:hAnsi="Constantia"/>
          <w:sz w:val="21"/>
          <w:szCs w:val="21"/>
          <w:lang w:val="sv-SE"/>
        </w:rP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r w:rsidRPr="00BE7EA6">
        <w:rPr>
          <w:rFonts w:ascii="Constantia" w:hAnsi="Constantia"/>
          <w:sz w:val="21"/>
          <w:szCs w:val="21"/>
        </w:rPr>
        <w:t>Slutdagen ska infalla inom 60 dagar från offentliggörandet.</w:t>
      </w:r>
    </w:p>
    <w:p w14:paraId="20481796"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In the event a Swedish parent company owns all Shares in the Company, and the board of directors of the company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w:t>
      </w:r>
      <w:bookmarkStart w:id="5" w:name="_Hlk12905097"/>
      <w:r w:rsidRPr="00B4441E">
        <w:rPr>
          <w:rFonts w:ascii="Constantia" w:hAnsi="Constantia"/>
          <w:i/>
          <w:sz w:val="21"/>
          <w:szCs w:val="21"/>
          <w:lang w:val="en-US"/>
        </w:rPr>
        <w:t>expiration date</w:t>
      </w:r>
      <w:bookmarkEnd w:id="5"/>
      <w:r w:rsidRPr="00B4441E">
        <w:rPr>
          <w:rFonts w:ascii="Constantia" w:hAnsi="Constantia"/>
          <w:i/>
          <w:sz w:val="21"/>
          <w:szCs w:val="21"/>
          <w:lang w:val="en-US"/>
        </w:rPr>
        <w:t>). The expiration date shall be a day within 60 days from the announcement.</w:t>
      </w:r>
    </w:p>
    <w:p w14:paraId="08BDA84B" w14:textId="77777777" w:rsidR="0008023B" w:rsidRPr="00BE7EA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M. Delning / </w:t>
      </w:r>
      <w:r w:rsidRPr="00616AB6">
        <w:rPr>
          <w:rFonts w:ascii="Constantia" w:hAnsi="Constantia"/>
          <w:b/>
          <w:i/>
          <w:sz w:val="21"/>
          <w:szCs w:val="21"/>
          <w:lang w:val="sv-SE"/>
        </w:rPr>
        <w:t>De-merger</w:t>
      </w:r>
    </w:p>
    <w:p w14:paraId="6EEDEDB4"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Omräkningen ska baseras på den del av Bolagets tillgångar och skulder som övertas av övertagande bolag.</w:t>
      </w:r>
    </w:p>
    <w:p w14:paraId="38C515E4"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shareholders’ meeting approves a de</w:t>
      </w:r>
      <w:r w:rsidR="00AD35C5" w:rsidRPr="00B4441E">
        <w:rPr>
          <w:rFonts w:ascii="Constantia" w:hAnsi="Constantia"/>
          <w:i/>
          <w:sz w:val="21"/>
          <w:szCs w:val="21"/>
          <w:lang w:val="en-US"/>
        </w:rPr>
        <w:t>-</w:t>
      </w:r>
      <w:r w:rsidRPr="00B4441E">
        <w:rPr>
          <w:rFonts w:ascii="Constantia" w:hAnsi="Constantia"/>
          <w:i/>
          <w:sz w:val="21"/>
          <w:szCs w:val="21"/>
          <w:lang w:val="en-US"/>
        </w:rPr>
        <w:t>merger plan pursuant to Chapter 24, section 17, of the Swedish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item G above. The recalculation shall be based on the part of the Company’s assets and liabilities assumed by the takeover company.</w:t>
      </w:r>
    </w:p>
    <w:p w14:paraId="7BE59D46"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32CF7147"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all of the Company’s assets and liabilities are taken over by one or more limited companies in exchange for consideration to the Company’s shareholders, the provisions regarding liquidation as set forth in item K above shall apply mutatis mutandis, entailing inter alia that the right to request Subscription shall terminate simultaneously with registration pursuant to Chapter 24, section 27, of the Swedish Companies Act and that Warrant Holders must be given notice thereof not later than two months prior to the date on which the de</w:t>
      </w:r>
      <w:r w:rsidR="00AD35C5" w:rsidRPr="00B4441E">
        <w:rPr>
          <w:rFonts w:ascii="Constantia" w:hAnsi="Constantia"/>
          <w:i/>
          <w:sz w:val="21"/>
          <w:szCs w:val="21"/>
          <w:lang w:val="en-US"/>
        </w:rPr>
        <w:t>-</w:t>
      </w:r>
      <w:r w:rsidRPr="00B4441E">
        <w:rPr>
          <w:rFonts w:ascii="Constantia" w:hAnsi="Constantia"/>
          <w:i/>
          <w:sz w:val="21"/>
          <w:szCs w:val="21"/>
          <w:lang w:val="en-US"/>
        </w:rPr>
        <w:t>merger plan is submitted to the shareholders’ meeting.</w:t>
      </w:r>
    </w:p>
    <w:p w14:paraId="5B398B88" w14:textId="77777777" w:rsidR="0008023B" w:rsidRPr="00BE7EA6" w:rsidRDefault="0008023B" w:rsidP="0008023B">
      <w:pPr>
        <w:rPr>
          <w:rFonts w:ascii="Constantia" w:hAnsi="Constantia"/>
          <w:b/>
          <w:i/>
          <w:sz w:val="21"/>
          <w:szCs w:val="21"/>
        </w:rPr>
      </w:pPr>
      <w:r w:rsidRPr="00BE7EA6">
        <w:rPr>
          <w:rFonts w:ascii="Constantia" w:hAnsi="Constantia"/>
          <w:b/>
          <w:i/>
          <w:sz w:val="21"/>
          <w:szCs w:val="21"/>
        </w:rPr>
        <w:t>N. Tvångsinlösen / Compulsory redemption of shares</w:t>
      </w:r>
    </w:p>
    <w:p w14:paraId="49AAB8F9"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3586F6C2" w14:textId="62366582"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a Swedish parent company, on its own or together with a subsidiary, owns more than 90 percent of the Shares and more than 90 percent of the voting rights in respect of all of the Shares in the Company, and where the parent company announces its intention to commence a buy-out procedure, the provisions of the final paragraph of item L regarding the expiration date shall apply mutatis mutandis.</w:t>
      </w:r>
    </w:p>
    <w:p w14:paraId="15B54333"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65DFC362"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If the announcement has been made in accordance with the provisions above in this subsection, Warrant Holders shall be entitled to demand Subscription until the expiration date. The Company must give notice to the Warrant Holders in accordance with section 9 below, not later than five weeks prior to the expiration date, informing them of this right and the fact that they may not demand Subscription after the expiration date.</w:t>
      </w:r>
    </w:p>
    <w:p w14:paraId="545767DC"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383833EC" w14:textId="77777777" w:rsidR="0008023B" w:rsidRPr="00B4441E" w:rsidRDefault="0008023B" w:rsidP="0008023B">
      <w:pPr>
        <w:rPr>
          <w:rFonts w:ascii="Constantia" w:hAnsi="Constantia"/>
          <w:i/>
          <w:sz w:val="21"/>
          <w:szCs w:val="21"/>
          <w:highlight w:val="cyan"/>
          <w:lang w:val="en-US"/>
        </w:rPr>
      </w:pPr>
      <w:r w:rsidRPr="00B4441E">
        <w:rPr>
          <w:rFonts w:ascii="Constantia" w:hAnsi="Constantia"/>
          <w:i/>
          <w:sz w:val="21"/>
          <w:szCs w:val="21"/>
          <w:lang w:val="en-US"/>
        </w:rPr>
        <w:t>If the majority shareholder, pursuant to Chapter 22, section 6, of the Swedish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Warrant Holder nevertheless has the right to exercise the Warrant within three months after the date on which the ruling became final.</w:t>
      </w:r>
    </w:p>
    <w:p w14:paraId="5F2CA5C5" w14:textId="77777777" w:rsidR="0008023B" w:rsidRPr="00616AB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O. Upphörd eller förfallen likvidation, fusion eller delning / </w:t>
      </w:r>
      <w:r w:rsidRPr="00616AB6">
        <w:rPr>
          <w:rFonts w:ascii="Constantia" w:hAnsi="Constantia"/>
          <w:b/>
          <w:i/>
          <w:sz w:val="21"/>
          <w:szCs w:val="21"/>
          <w:lang w:val="sv-SE"/>
        </w:rPr>
        <w:t>Cease or lapse of liquidation, merger or de</w:t>
      </w:r>
      <w:r w:rsidR="00AD35C5" w:rsidRPr="00616AB6">
        <w:rPr>
          <w:rFonts w:ascii="Constantia" w:hAnsi="Constantia"/>
          <w:b/>
          <w:i/>
          <w:sz w:val="21"/>
          <w:szCs w:val="21"/>
          <w:lang w:val="sv-SE"/>
        </w:rPr>
        <w:t>-</w:t>
      </w:r>
      <w:r w:rsidRPr="00616AB6">
        <w:rPr>
          <w:rFonts w:ascii="Constantia" w:hAnsi="Constantia"/>
          <w:b/>
          <w:i/>
          <w:sz w:val="21"/>
          <w:szCs w:val="21"/>
          <w:lang w:val="sv-SE"/>
        </w:rPr>
        <w:t>merger</w:t>
      </w:r>
    </w:p>
    <w:p w14:paraId="4EE069E1"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Oavsett vad som sagts under punkt K, L och M om att Teckning inte får verkställas efter beslut om likvidation eller godkännande av fusionsplan eller delningsplan, ska rätten till Teckning återinträda om likvidationen upphör eller frågan om fusion eller delning förfaller.</w:t>
      </w:r>
    </w:p>
    <w:p w14:paraId="124ACB7C"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Notwithstanding the provisions of item K, L</w:t>
      </w:r>
      <w:r w:rsidR="00015588" w:rsidRPr="00B4441E">
        <w:rPr>
          <w:rFonts w:ascii="Constantia" w:hAnsi="Constantia"/>
          <w:i/>
          <w:sz w:val="21"/>
          <w:szCs w:val="21"/>
          <w:lang w:val="en-US"/>
        </w:rPr>
        <w:t xml:space="preserve"> </w:t>
      </w:r>
      <w:r w:rsidRPr="00B4441E">
        <w:rPr>
          <w:rFonts w:ascii="Constantia" w:hAnsi="Constantia"/>
          <w:i/>
          <w:sz w:val="21"/>
          <w:szCs w:val="21"/>
          <w:lang w:val="en-US"/>
        </w:rPr>
        <w:t>and M that Subscription may not be effected following a resolution regarding liquidation or approval of a merger plan or de</w:t>
      </w:r>
      <w:r w:rsidR="00AD35C5" w:rsidRPr="00B4441E">
        <w:rPr>
          <w:rFonts w:ascii="Constantia" w:hAnsi="Constantia"/>
          <w:i/>
          <w:sz w:val="21"/>
          <w:szCs w:val="21"/>
          <w:lang w:val="en-US"/>
        </w:rPr>
        <w:t>-</w:t>
      </w:r>
      <w:r w:rsidRPr="00B4441E">
        <w:rPr>
          <w:rFonts w:ascii="Constantia" w:hAnsi="Constantia"/>
          <w:i/>
          <w:sz w:val="21"/>
          <w:szCs w:val="21"/>
          <w:lang w:val="en-US"/>
        </w:rPr>
        <w:t>merger plan, the right to Subscription shall be reinstated in the event the liquidation ceases or the issue of a merger or de</w:t>
      </w:r>
      <w:r w:rsidR="00AD35C5" w:rsidRPr="00B4441E">
        <w:rPr>
          <w:rFonts w:ascii="Constantia" w:hAnsi="Constantia"/>
          <w:i/>
          <w:sz w:val="21"/>
          <w:szCs w:val="21"/>
          <w:lang w:val="en-US"/>
        </w:rPr>
        <w:t>-</w:t>
      </w:r>
      <w:r w:rsidRPr="00B4441E">
        <w:rPr>
          <w:rFonts w:ascii="Constantia" w:hAnsi="Constantia"/>
          <w:i/>
          <w:sz w:val="21"/>
          <w:szCs w:val="21"/>
          <w:lang w:val="en-US"/>
        </w:rPr>
        <w:t>merger lapses.</w:t>
      </w:r>
    </w:p>
    <w:p w14:paraId="5A6D195B" w14:textId="0D89DC5A" w:rsidR="0008023B" w:rsidRPr="006B0F63"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P. Konkurs eller företagsrekonstruktion / </w:t>
      </w:r>
      <w:r w:rsidRPr="006B0F63">
        <w:rPr>
          <w:rFonts w:ascii="Constantia" w:hAnsi="Constantia"/>
          <w:b/>
          <w:i/>
          <w:sz w:val="21"/>
          <w:szCs w:val="21"/>
          <w:lang w:val="sv-SE"/>
        </w:rPr>
        <w:t xml:space="preserve">Bankruptcy or company </w:t>
      </w:r>
      <w:r w:rsidR="00C23ED1" w:rsidRPr="006B0F63">
        <w:rPr>
          <w:rFonts w:ascii="Constantia" w:hAnsi="Constantia"/>
          <w:b/>
          <w:i/>
          <w:sz w:val="21"/>
          <w:szCs w:val="21"/>
          <w:lang w:val="sv-SE"/>
        </w:rPr>
        <w:t>reorganization</w:t>
      </w:r>
      <w:r w:rsidRPr="006B0F63">
        <w:rPr>
          <w:rFonts w:ascii="Constantia" w:hAnsi="Constantia"/>
          <w:b/>
          <w:i/>
          <w:sz w:val="21"/>
          <w:szCs w:val="21"/>
          <w:lang w:val="sv-SE"/>
        </w:rPr>
        <w:t xml:space="preserve"> order</w:t>
      </w:r>
    </w:p>
    <w:p w14:paraId="26729293"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Vid Bolagets konkurs eller om beslut fattas om att Bolaget ska bli föremål för företagsrekonstruktion får Teckning med utnyttjande av Optionsrätt inte ske. Om konkursbeslutet eller beslutet om företagsrekonstruktion hävs av högre rätt, återinträder rätten till Teckning.</w:t>
      </w:r>
    </w:p>
    <w:p w14:paraId="146DD511" w14:textId="66A51005"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In the event of the Company’s bankruptcy or where a decision is taken that the Company shall be the subject of a company </w:t>
      </w:r>
      <w:r w:rsidR="00C23ED1" w:rsidRPr="00B4441E">
        <w:rPr>
          <w:rFonts w:ascii="Constantia" w:hAnsi="Constantia"/>
          <w:i/>
          <w:sz w:val="21"/>
          <w:szCs w:val="21"/>
          <w:lang w:val="en-US"/>
        </w:rPr>
        <w:t>reorganization</w:t>
      </w:r>
      <w:r w:rsidRPr="00B4441E">
        <w:rPr>
          <w:rFonts w:ascii="Constantia" w:hAnsi="Constantia"/>
          <w:i/>
          <w:sz w:val="21"/>
          <w:szCs w:val="21"/>
          <w:lang w:val="en-US"/>
        </w:rPr>
        <w:t xml:space="preserve"> order, Subscription may not take place through exercise of Warrants. Where the bankruptcy order or the Company </w:t>
      </w:r>
      <w:r w:rsidR="00C23ED1" w:rsidRPr="00B4441E">
        <w:rPr>
          <w:rFonts w:ascii="Constantia" w:hAnsi="Constantia"/>
          <w:i/>
          <w:sz w:val="21"/>
          <w:szCs w:val="21"/>
          <w:lang w:val="en-US"/>
        </w:rPr>
        <w:t>reorganization</w:t>
      </w:r>
      <w:r w:rsidRPr="00B4441E">
        <w:rPr>
          <w:rFonts w:ascii="Constantia" w:hAnsi="Constantia"/>
          <w:i/>
          <w:sz w:val="21"/>
          <w:szCs w:val="21"/>
          <w:lang w:val="en-US"/>
        </w:rPr>
        <w:t xml:space="preserve"> order is set aside by a higher court, the entitlement to Subscribe shall be reinstated.</w:t>
      </w:r>
    </w:p>
    <w:p w14:paraId="5493A17A" w14:textId="77777777" w:rsidR="0008023B" w:rsidRPr="00616AB6" w:rsidRDefault="0008023B" w:rsidP="0008023B">
      <w:pPr>
        <w:rPr>
          <w:rFonts w:ascii="Constantia" w:hAnsi="Constantia"/>
          <w:b/>
          <w:i/>
          <w:sz w:val="21"/>
          <w:szCs w:val="21"/>
          <w:lang w:val="sv-SE"/>
        </w:rPr>
      </w:pPr>
      <w:r w:rsidRPr="00BE7EA6">
        <w:rPr>
          <w:rFonts w:ascii="Constantia" w:hAnsi="Constantia"/>
          <w:b/>
          <w:i/>
          <w:sz w:val="21"/>
          <w:szCs w:val="21"/>
          <w:lang w:val="sv-SE"/>
        </w:rPr>
        <w:t xml:space="preserve">Q. Byte av redovisningsvaluta / </w:t>
      </w:r>
      <w:r w:rsidRPr="00616AB6">
        <w:rPr>
          <w:rFonts w:ascii="Constantia" w:hAnsi="Constantia"/>
          <w:b/>
          <w:i/>
          <w:sz w:val="21"/>
          <w:szCs w:val="21"/>
          <w:lang w:val="sv-SE"/>
        </w:rPr>
        <w:t>Change in accounting currency</w:t>
      </w:r>
    </w:p>
    <w:p w14:paraId="3EA696EB"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17F887CC"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347E491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Enligt ovan omräknad Teckningskurs fastställs av Bolaget och ska tillämpas vid Teckning som verkställs från och med den dag som bytet av redovisningsvaluta får verkan.</w:t>
      </w:r>
    </w:p>
    <w:p w14:paraId="6BC6E918"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A recalculated Subscription Price in accordance with the provisions above shall be determined by the Company and shall be applied to Subscriptions effected commencing the day on which the change in the accounting currency takes effect.</w:t>
      </w:r>
    </w:p>
    <w:p w14:paraId="48E93395" w14:textId="77777777" w:rsidR="0008023B" w:rsidRPr="00BE7EA6" w:rsidRDefault="0008023B" w:rsidP="0008023B">
      <w:pPr>
        <w:rPr>
          <w:rFonts w:ascii="Constantia" w:hAnsi="Constantia"/>
          <w:b/>
          <w:i/>
          <w:sz w:val="21"/>
          <w:szCs w:val="21"/>
        </w:rPr>
      </w:pPr>
      <w:r w:rsidRPr="00BE7EA6">
        <w:rPr>
          <w:rFonts w:ascii="Constantia" w:hAnsi="Constantia"/>
          <w:b/>
          <w:i/>
          <w:sz w:val="21"/>
          <w:szCs w:val="21"/>
        </w:rPr>
        <w:t>R. Motsvarande villkor för kupongbolag / Equivalent terms and conditions for companies that are not Central Securities Depository Companies</w:t>
      </w:r>
    </w:p>
    <w:p w14:paraId="356CAA54"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24CF3222"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3BC2FF1E"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9 Meddelanden / </w:t>
      </w:r>
      <w:r w:rsidRPr="00BE7EA6">
        <w:rPr>
          <w:rFonts w:ascii="Constantia" w:hAnsi="Constantia"/>
          <w:i/>
          <w:sz w:val="21"/>
          <w:szCs w:val="21"/>
          <w:lang w:val="sv-SE"/>
        </w:rPr>
        <w:t>Notices</w:t>
      </w:r>
    </w:p>
    <w:p w14:paraId="42C207A7"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 xml:space="preserve">Meddelanden rörande Optionsrätterna ska skriftligen genom brev eller e-post tillställas varje Innehavare under adress som är känd för Bolaget. </w:t>
      </w:r>
    </w:p>
    <w:p w14:paraId="28AC5EC5"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Notices relating to the Warrants must be provided in writing to each Warrant Holder to an address which is known to the Company.</w:t>
      </w:r>
    </w:p>
    <w:p w14:paraId="77BC81E1" w14:textId="77777777" w:rsidR="0008023B" w:rsidRPr="00BE7EA6" w:rsidRDefault="0008023B" w:rsidP="0008023B">
      <w:pPr>
        <w:pStyle w:val="Heading2"/>
        <w:numPr>
          <w:ilvl w:val="0"/>
          <w:numId w:val="0"/>
        </w:numPr>
        <w:ind w:left="851" w:hanging="851"/>
        <w:rPr>
          <w:rFonts w:ascii="Constantia" w:hAnsi="Constantia"/>
          <w:sz w:val="21"/>
          <w:szCs w:val="21"/>
        </w:rPr>
      </w:pPr>
      <w:r w:rsidRPr="00BE7EA6">
        <w:rPr>
          <w:rFonts w:ascii="Constantia" w:hAnsi="Constantia"/>
          <w:sz w:val="21"/>
          <w:szCs w:val="21"/>
        </w:rPr>
        <w:t xml:space="preserve">§ 10 Ändring av villkor / </w:t>
      </w:r>
      <w:r w:rsidRPr="00BE7EA6">
        <w:rPr>
          <w:rFonts w:ascii="Constantia" w:hAnsi="Constantia"/>
          <w:i/>
          <w:sz w:val="21"/>
          <w:szCs w:val="21"/>
        </w:rPr>
        <w:t>Amendments of the terms and conditions</w:t>
      </w:r>
    </w:p>
    <w:p w14:paraId="15CF9E89"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Bolagets styrelse har rätt att för Innehavarnas räkning besluta om ändring av dessa villkor i den mån lagstiftning, domstolsavgörande, Euroclears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5901A2BE" w14:textId="77777777"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The Company’s board of directors shall be entitled, on behalf of the Warrant Holders, to amend these terms and conditions to the extent that any legislation, court decision or public authority decision renders necessary such amendment or where, in the board’s opinion, for practical reasons it is otherwise appropriate or necessary to amend the terms and conditions, and the rights of the Warrant Holders are thereupon not prejudiced in any respect.</w:t>
      </w:r>
    </w:p>
    <w:p w14:paraId="2ECD3CF9" w14:textId="77777777" w:rsidR="0008023B" w:rsidRPr="00BE7EA6" w:rsidRDefault="0008023B" w:rsidP="0008023B">
      <w:pPr>
        <w:pStyle w:val="Heading2"/>
        <w:numPr>
          <w:ilvl w:val="0"/>
          <w:numId w:val="0"/>
        </w:numPr>
        <w:ind w:left="851" w:hanging="851"/>
        <w:rPr>
          <w:rFonts w:ascii="Constantia" w:hAnsi="Constantia"/>
          <w:sz w:val="21"/>
          <w:szCs w:val="21"/>
          <w:lang w:val="sv-SE"/>
        </w:rPr>
      </w:pPr>
      <w:r w:rsidRPr="00BE7EA6">
        <w:rPr>
          <w:rFonts w:ascii="Constantia" w:hAnsi="Constantia"/>
          <w:sz w:val="21"/>
          <w:szCs w:val="21"/>
          <w:lang w:val="sv-SE"/>
        </w:rPr>
        <w:t xml:space="preserve">§ 11 Sekretess / </w:t>
      </w:r>
      <w:r w:rsidRPr="00BE7EA6">
        <w:rPr>
          <w:rFonts w:ascii="Constantia" w:hAnsi="Constantia"/>
          <w:i/>
          <w:sz w:val="21"/>
          <w:szCs w:val="21"/>
          <w:lang w:val="sv-SE"/>
        </w:rPr>
        <w:t>Confidentiality</w:t>
      </w:r>
    </w:p>
    <w:p w14:paraId="12A8F028"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Bolaget, kontoförande institut eller Euroclear får inte obehörigen till tredje man lämna uppgift om Innehavare. Bolaget äger rätt att i förekommande fall få följande uppgifter från Euroclear om Innehavares konto i Bolagets avstämningsregister:</w:t>
      </w:r>
    </w:p>
    <w:p w14:paraId="7611DDE2" w14:textId="77777777" w:rsidR="0008023B" w:rsidRPr="00BE7EA6" w:rsidRDefault="0008023B" w:rsidP="0008023B">
      <w:pPr>
        <w:pStyle w:val="ListParagraph"/>
        <w:numPr>
          <w:ilvl w:val="0"/>
          <w:numId w:val="48"/>
        </w:numPr>
        <w:rPr>
          <w:rFonts w:ascii="Constantia" w:hAnsi="Constantia"/>
          <w:sz w:val="21"/>
          <w:szCs w:val="21"/>
          <w:lang w:val="sv-SE"/>
        </w:rPr>
      </w:pPr>
      <w:r w:rsidRPr="00BE7EA6">
        <w:rPr>
          <w:rFonts w:ascii="Constantia" w:hAnsi="Constantia"/>
          <w:sz w:val="21"/>
          <w:szCs w:val="21"/>
          <w:lang w:val="sv-SE"/>
        </w:rPr>
        <w:t>Innehavarens namn, personnummer eller annat identifikationsnummer samt postadress;</w:t>
      </w:r>
    </w:p>
    <w:p w14:paraId="267A1F83" w14:textId="77777777" w:rsidR="0008023B" w:rsidRPr="00BE7EA6" w:rsidRDefault="0008023B" w:rsidP="0008023B">
      <w:pPr>
        <w:pStyle w:val="ListParagraph"/>
        <w:numPr>
          <w:ilvl w:val="0"/>
          <w:numId w:val="48"/>
        </w:numPr>
        <w:rPr>
          <w:rFonts w:ascii="Constantia" w:hAnsi="Constantia"/>
          <w:sz w:val="21"/>
          <w:szCs w:val="21"/>
          <w:lang w:val="sv-SE"/>
        </w:rPr>
      </w:pPr>
      <w:r w:rsidRPr="00BE7EA6">
        <w:rPr>
          <w:rFonts w:ascii="Constantia" w:hAnsi="Constantia"/>
          <w:sz w:val="21"/>
          <w:szCs w:val="21"/>
          <w:lang w:val="sv-SE"/>
        </w:rPr>
        <w:t>antal Optionsrätter.</w:t>
      </w:r>
    </w:p>
    <w:p w14:paraId="3617BA89" w14:textId="656485AD" w:rsidR="0008023B" w:rsidRPr="00B4441E" w:rsidRDefault="0008023B" w:rsidP="0008023B">
      <w:pPr>
        <w:rPr>
          <w:rFonts w:ascii="Constantia" w:hAnsi="Constantia"/>
          <w:i/>
          <w:sz w:val="21"/>
          <w:szCs w:val="21"/>
          <w:lang w:val="en-US"/>
        </w:rPr>
      </w:pPr>
      <w:r w:rsidRPr="00B4441E">
        <w:rPr>
          <w:rFonts w:ascii="Constantia" w:hAnsi="Constantia"/>
          <w:i/>
          <w:sz w:val="21"/>
          <w:szCs w:val="21"/>
          <w:lang w:val="en-US"/>
        </w:rPr>
        <w:t xml:space="preserve">None of the Company, the institution maintaining a Warrant Holder’s account or Euroclear may disclose information about a Warrant Holder to any third party without </w:t>
      </w:r>
      <w:r w:rsidR="00C23ED1" w:rsidRPr="00B4441E">
        <w:rPr>
          <w:rFonts w:ascii="Constantia" w:hAnsi="Constantia"/>
          <w:i/>
          <w:sz w:val="21"/>
          <w:szCs w:val="21"/>
          <w:lang w:val="en-US"/>
        </w:rPr>
        <w:t>authorization</w:t>
      </w:r>
      <w:r w:rsidRPr="00B4441E">
        <w:rPr>
          <w:rFonts w:ascii="Constantia" w:hAnsi="Constantia"/>
          <w:i/>
          <w:sz w:val="21"/>
          <w:szCs w:val="21"/>
          <w:lang w:val="en-US"/>
        </w:rPr>
        <w:t>. The Company shall be entitled to obtain the following information from Euroclear regarding a Warrant Holder’s account in the Company’s central securities depository register:</w:t>
      </w:r>
    </w:p>
    <w:p w14:paraId="475BDA5C" w14:textId="77777777" w:rsidR="0008023B" w:rsidRPr="00B4441E" w:rsidRDefault="0008023B" w:rsidP="0008023B">
      <w:pPr>
        <w:pStyle w:val="ListParagraph"/>
        <w:numPr>
          <w:ilvl w:val="0"/>
          <w:numId w:val="50"/>
        </w:numPr>
        <w:rPr>
          <w:rFonts w:ascii="Constantia" w:hAnsi="Constantia"/>
          <w:i/>
          <w:sz w:val="21"/>
          <w:szCs w:val="21"/>
          <w:lang w:val="en-US"/>
        </w:rPr>
      </w:pPr>
      <w:r w:rsidRPr="00B4441E">
        <w:rPr>
          <w:rFonts w:ascii="Constantia" w:hAnsi="Constantia"/>
          <w:i/>
          <w:sz w:val="21"/>
          <w:szCs w:val="21"/>
          <w:lang w:val="en-US"/>
        </w:rPr>
        <w:t xml:space="preserve">the Warrant Holder’s name, personal identification number or other identification number and address and; </w:t>
      </w:r>
    </w:p>
    <w:p w14:paraId="29D4C4EE" w14:textId="77777777" w:rsidR="0008023B" w:rsidRPr="00B4441E" w:rsidRDefault="0008023B" w:rsidP="0008023B">
      <w:pPr>
        <w:pStyle w:val="ListParagraph"/>
        <w:numPr>
          <w:ilvl w:val="0"/>
          <w:numId w:val="50"/>
        </w:numPr>
        <w:rPr>
          <w:rFonts w:ascii="Constantia" w:hAnsi="Constantia"/>
          <w:sz w:val="21"/>
          <w:szCs w:val="21"/>
          <w:lang w:val="en-US"/>
        </w:rPr>
      </w:pPr>
      <w:r w:rsidRPr="00B4441E">
        <w:rPr>
          <w:rFonts w:ascii="Constantia" w:hAnsi="Constantia"/>
          <w:i/>
          <w:sz w:val="21"/>
          <w:szCs w:val="21"/>
          <w:lang w:val="en-US"/>
        </w:rPr>
        <w:t>the number of Warrants</w:t>
      </w:r>
      <w:r w:rsidRPr="00B4441E">
        <w:rPr>
          <w:rFonts w:ascii="Constantia" w:hAnsi="Constantia"/>
          <w:sz w:val="21"/>
          <w:szCs w:val="21"/>
          <w:lang w:val="en-US"/>
        </w:rPr>
        <w:t>.</w:t>
      </w:r>
    </w:p>
    <w:p w14:paraId="62939934" w14:textId="77777777" w:rsidR="0008023B" w:rsidRPr="00BE7EA6" w:rsidRDefault="0008023B" w:rsidP="0008023B">
      <w:pPr>
        <w:pStyle w:val="Heading2"/>
        <w:numPr>
          <w:ilvl w:val="0"/>
          <w:numId w:val="0"/>
        </w:numPr>
        <w:ind w:left="851" w:hanging="851"/>
        <w:rPr>
          <w:rFonts w:ascii="Constantia" w:hAnsi="Constantia"/>
          <w:sz w:val="21"/>
          <w:szCs w:val="21"/>
        </w:rPr>
      </w:pPr>
      <w:r w:rsidRPr="00BE7EA6">
        <w:rPr>
          <w:rFonts w:ascii="Constantia" w:hAnsi="Constantia"/>
          <w:sz w:val="21"/>
          <w:szCs w:val="21"/>
        </w:rPr>
        <w:t xml:space="preserve">§ 12 Tillämplig lag / </w:t>
      </w:r>
      <w:r w:rsidRPr="00BE7EA6">
        <w:rPr>
          <w:rFonts w:ascii="Constantia" w:hAnsi="Constantia"/>
          <w:i/>
          <w:sz w:val="21"/>
          <w:szCs w:val="21"/>
        </w:rPr>
        <w:t>Governing law</w:t>
      </w:r>
    </w:p>
    <w:p w14:paraId="53694950" w14:textId="77777777" w:rsidR="0008023B" w:rsidRPr="00BE7EA6" w:rsidRDefault="0008023B" w:rsidP="0008023B">
      <w:pPr>
        <w:rPr>
          <w:rFonts w:ascii="Constantia" w:hAnsi="Constantia"/>
          <w:sz w:val="21"/>
          <w:szCs w:val="21"/>
          <w:lang w:val="sv-SE"/>
        </w:rPr>
      </w:pPr>
      <w:r w:rsidRPr="00BE7EA6">
        <w:rPr>
          <w:rFonts w:ascii="Constantia" w:hAnsi="Constantia"/>
          <w:sz w:val="21"/>
          <w:szCs w:val="21"/>
          <w:lang w:val="sv-SE"/>
        </w:rP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092E71B6" w14:textId="77777777" w:rsidR="0008023B" w:rsidRPr="00BE7EA6" w:rsidRDefault="0008023B" w:rsidP="0008023B">
      <w:pPr>
        <w:rPr>
          <w:rFonts w:ascii="Constantia" w:hAnsi="Constantia"/>
          <w:i/>
          <w:sz w:val="21"/>
          <w:szCs w:val="21"/>
        </w:rPr>
      </w:pPr>
      <w:r w:rsidRPr="00BE7EA6">
        <w:rPr>
          <w:rFonts w:ascii="Constantia" w:hAnsi="Constantia"/>
          <w:i/>
          <w:sz w:val="21"/>
          <w:szCs w:val="21"/>
        </w:rP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bookmarkEnd w:id="0"/>
    <w:p w14:paraId="55CCF8F4" w14:textId="77777777" w:rsidR="0008023B" w:rsidRPr="00BE7EA6" w:rsidRDefault="0008023B" w:rsidP="0008023B">
      <w:pPr>
        <w:jc w:val="center"/>
        <w:rPr>
          <w:rFonts w:ascii="Constantia" w:hAnsi="Constantia"/>
          <w:sz w:val="21"/>
          <w:szCs w:val="21"/>
        </w:rPr>
      </w:pPr>
      <w:r w:rsidRPr="00BE7EA6">
        <w:rPr>
          <w:rFonts w:ascii="Constantia" w:hAnsi="Constantia"/>
          <w:sz w:val="21"/>
          <w:szCs w:val="21"/>
        </w:rPr>
        <w:t>___________</w:t>
      </w:r>
    </w:p>
    <w:p w14:paraId="33779E6E" w14:textId="77777777" w:rsidR="004B5DCE" w:rsidRPr="00BE7EA6" w:rsidRDefault="004B5DCE" w:rsidP="0008023B">
      <w:pPr>
        <w:pStyle w:val="Heading1"/>
        <w:numPr>
          <w:ilvl w:val="0"/>
          <w:numId w:val="0"/>
        </w:numPr>
        <w:rPr>
          <w:rFonts w:ascii="Constantia" w:hAnsi="Constantia"/>
          <w:sz w:val="21"/>
          <w:szCs w:val="21"/>
          <w:lang w:val="sv-SE"/>
        </w:rPr>
      </w:pPr>
    </w:p>
    <w:sectPr w:rsidR="004B5DCE" w:rsidRPr="00BE7EA6" w:rsidSect="00676FA5">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40" w:left="1418" w:header="709" w:footer="4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3160" w14:textId="77777777" w:rsidR="00320CEA" w:rsidRDefault="00320CEA" w:rsidP="008C0A4B">
      <w:r>
        <w:separator/>
      </w:r>
    </w:p>
  </w:endnote>
  <w:endnote w:type="continuationSeparator" w:id="0">
    <w:p w14:paraId="35A5133F" w14:textId="77777777" w:rsidR="00320CEA" w:rsidRDefault="00320CEA" w:rsidP="008C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5B8F" w14:textId="77777777" w:rsidR="00B4441E" w:rsidRDefault="00B44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1001" w14:textId="77777777" w:rsidR="00F022E8" w:rsidRPr="0017421D" w:rsidRDefault="00F022E8">
    <w:pPr>
      <w:pStyle w:val="Footer"/>
      <w:rPr>
        <w:lang w:val="sv-SE"/>
      </w:rPr>
    </w:pPr>
    <w:r>
      <w:rPr>
        <w:lang w:val="sv-SE"/>
      </w:rPr>
      <w:t xml:space="preserve">- </w:t>
    </w:r>
    <w:r>
      <w:rPr>
        <w:lang w:val="sv-SE"/>
      </w:rPr>
      <w:fldChar w:fldCharType="begin"/>
    </w:r>
    <w:r>
      <w:rPr>
        <w:lang w:val="sv-SE"/>
      </w:rPr>
      <w:instrText xml:space="preserve"> PAGE   \* MERGEFORMAT </w:instrText>
    </w:r>
    <w:r>
      <w:rPr>
        <w:lang w:val="sv-SE"/>
      </w:rPr>
      <w:fldChar w:fldCharType="separate"/>
    </w:r>
    <w:r w:rsidR="00746583">
      <w:rPr>
        <w:noProof/>
        <w:lang w:val="sv-SE"/>
      </w:rPr>
      <w:t>2</w:t>
    </w:r>
    <w:r>
      <w:rPr>
        <w:lang w:val="sv-SE"/>
      </w:rPr>
      <w:fldChar w:fldCharType="end"/>
    </w:r>
    <w:r>
      <w:rPr>
        <w:lang w:val="sv-S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3E3C" w14:textId="77777777" w:rsidR="00B4441E" w:rsidRDefault="00B4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1EF5" w14:textId="77777777" w:rsidR="00320CEA" w:rsidRDefault="00320CEA" w:rsidP="008C0A4B">
      <w:r>
        <w:separator/>
      </w:r>
    </w:p>
  </w:footnote>
  <w:footnote w:type="continuationSeparator" w:id="0">
    <w:p w14:paraId="276D5EE6" w14:textId="77777777" w:rsidR="00320CEA" w:rsidRDefault="00320CEA" w:rsidP="008C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CF2F" w14:textId="77777777" w:rsidR="00B4441E" w:rsidRDefault="00B44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F82" w14:textId="77777777" w:rsidR="00B4441E" w:rsidRDefault="00B44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EC8" w14:textId="77777777" w:rsidR="00676FA5" w:rsidRPr="00B73D86" w:rsidRDefault="00676FA5" w:rsidP="00676FA5">
    <w:pPr>
      <w:pStyle w:val="Header"/>
      <w:jc w:val="left"/>
      <w:rPr>
        <w:rFonts w:ascii="Constantia" w:hAnsi="Constantia"/>
        <w:i/>
        <w:color w:val="auto"/>
        <w:szCs w:val="16"/>
      </w:rPr>
    </w:pPr>
    <w:bookmarkStart w:id="6" w:name="_Hlk12968900"/>
    <w:r w:rsidRPr="00B73D86">
      <w:rPr>
        <w:rFonts w:ascii="Constantia" w:hAnsi="Constantia"/>
        <w:i/>
        <w:color w:val="auto"/>
        <w:szCs w:val="16"/>
      </w:rPr>
      <w:t>N.B. The English text is an office translation. In case of any inconsistency, the Swedish version shall prevail.</w:t>
    </w:r>
  </w:p>
  <w:bookmarkEnd w:id="6"/>
  <w:p w14:paraId="6B20D6FF" w14:textId="77777777" w:rsidR="00676FA5" w:rsidRDefault="0067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FA9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A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4C04F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4A1C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3655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2AF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A6E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564F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87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F7B06"/>
    <w:multiLevelType w:val="multilevel"/>
    <w:tmpl w:val="D6F2A510"/>
    <w:styleLink w:val="ScheduleList"/>
    <w:lvl w:ilvl="0">
      <w:start w:val="1"/>
      <w:numFmt w:val="decimal"/>
      <w:pStyle w:val="ScheduleHeading"/>
      <w:suff w:val="nothing"/>
      <w:lvlText w:val="Schedule %1"/>
      <w:lvlJc w:val="left"/>
      <w:pPr>
        <w:ind w:left="0" w:firstLine="0"/>
      </w:pPr>
      <w:rPr>
        <w:rFonts w:hint="default"/>
      </w:rPr>
    </w:lvl>
    <w:lvl w:ilvl="1">
      <w:start w:val="1"/>
      <w:numFmt w:val="none"/>
      <w:pStyle w:val="AppendixHeading"/>
      <w:suff w:val="nothing"/>
      <w:lvlText w:val="%2"/>
      <w:lvlJc w:val="left"/>
      <w:pPr>
        <w:ind w:left="0" w:firstLine="0"/>
      </w:pPr>
      <w:rPr>
        <w:rFonts w:hint="default"/>
      </w:rPr>
    </w:lvl>
    <w:lvl w:ilvl="2">
      <w:start w:val="1"/>
      <w:numFmt w:val="decimal"/>
      <w:pStyle w:val="ScheduleHeading1"/>
      <w:lvlText w:val="%2%3."/>
      <w:lvlJc w:val="left"/>
      <w:pPr>
        <w:ind w:left="851" w:hanging="851"/>
      </w:pPr>
      <w:rPr>
        <w:rFonts w:hint="default"/>
      </w:rPr>
    </w:lvl>
    <w:lvl w:ilvl="3">
      <w:start w:val="1"/>
      <w:numFmt w:val="decimal"/>
      <w:pStyle w:val="ScheduleHeading2"/>
      <w:lvlText w:val="%2%3.%4"/>
      <w:lvlJc w:val="left"/>
      <w:pPr>
        <w:ind w:left="851" w:hanging="851"/>
      </w:pPr>
      <w:rPr>
        <w:rFonts w:hint="default"/>
      </w:rPr>
    </w:lvl>
    <w:lvl w:ilvl="4">
      <w:start w:val="1"/>
      <w:numFmt w:val="decimal"/>
      <w:pStyle w:val="ScheduleHeading3"/>
      <w:lvlText w:val="%2%3.%4.%5"/>
      <w:lvlJc w:val="left"/>
      <w:pPr>
        <w:ind w:left="720" w:hanging="720"/>
      </w:pPr>
      <w:rPr>
        <w:rFonts w:hint="default"/>
      </w:rPr>
    </w:lvl>
    <w:lvl w:ilvl="5">
      <w:start w:val="1"/>
      <w:numFmt w:val="lowerLetter"/>
      <w:pStyle w:val="ScheduleAlphaListLevel1"/>
      <w:lvlText w:val="%2(%6)"/>
      <w:lvlJc w:val="left"/>
      <w:pPr>
        <w:ind w:left="851" w:hanging="851"/>
      </w:pPr>
      <w:rPr>
        <w:rFonts w:hint="default"/>
      </w:rPr>
    </w:lvl>
    <w:lvl w:ilvl="6">
      <w:start w:val="1"/>
      <w:numFmt w:val="lowerRoman"/>
      <w:pStyle w:val="ScheduleRomanListLevel1"/>
      <w:lvlText w:val="(%7)"/>
      <w:lvlJc w:val="left"/>
      <w:pPr>
        <w:ind w:left="1418" w:hanging="567"/>
      </w:pPr>
      <w:rPr>
        <w:rFonts w:hint="default"/>
      </w:rPr>
    </w:lvl>
    <w:lvl w:ilvl="7">
      <w:start w:val="1"/>
      <w:numFmt w:val="upperLetter"/>
      <w:pStyle w:val="ScheduleLetterListLevel1"/>
      <w:lvlText w:val="(%8)"/>
      <w:lvlJc w:val="left"/>
      <w:pPr>
        <w:tabs>
          <w:tab w:val="num" w:pos="1418"/>
        </w:tabs>
        <w:ind w:left="1985" w:hanging="567"/>
      </w:pPr>
      <w:rPr>
        <w:rFonts w:hint="default"/>
      </w:rPr>
    </w:lvl>
    <w:lvl w:ilvl="8">
      <w:start w:val="1"/>
      <w:numFmt w:val="decimal"/>
      <w:pStyle w:val="ScheduleNumberedListLevel1"/>
      <w:lvlText w:val="(%9)"/>
      <w:lvlJc w:val="left"/>
      <w:pPr>
        <w:ind w:left="2552" w:hanging="567"/>
      </w:pPr>
      <w:rPr>
        <w:rFonts w:hint="default"/>
      </w:rPr>
    </w:lvl>
  </w:abstractNum>
  <w:abstractNum w:abstractNumId="11" w15:restartNumberingAfterBreak="0">
    <w:nsid w:val="078C381E"/>
    <w:multiLevelType w:val="multilevel"/>
    <w:tmpl w:val="F42E470C"/>
    <w:numStyleLink w:val="PartiesList"/>
  </w:abstractNum>
  <w:abstractNum w:abstractNumId="12" w15:restartNumberingAfterBreak="0">
    <w:nsid w:val="0F345F24"/>
    <w:multiLevelType w:val="hybridMultilevel"/>
    <w:tmpl w:val="AF164FD6"/>
    <w:lvl w:ilvl="0" w:tplc="72A2154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315E4D"/>
    <w:multiLevelType w:val="multilevel"/>
    <w:tmpl w:val="0DEEDD6E"/>
    <w:styleLink w:val="ScheduleListLevel2"/>
    <w:lvl w:ilvl="0">
      <w:start w:val="1"/>
      <w:numFmt w:val="lowerLetter"/>
      <w:pStyle w:val="ScheduleAlphaListLevel2"/>
      <w:lvlText w:val="(%1)"/>
      <w:lvlJc w:val="left"/>
      <w:pPr>
        <w:ind w:left="1418" w:hanging="567"/>
      </w:pPr>
      <w:rPr>
        <w:rFonts w:hint="default"/>
      </w:rPr>
    </w:lvl>
    <w:lvl w:ilvl="1">
      <w:start w:val="1"/>
      <w:numFmt w:val="lowerRoman"/>
      <w:pStyle w:val="ScheduleRomanListLevel2"/>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3119" w:hanging="567"/>
      </w:pPr>
      <w:rPr>
        <w:rFonts w:hint="default"/>
      </w:rPr>
    </w:lvl>
    <w:lvl w:ilvl="4">
      <w:start w:val="1"/>
      <w:numFmt w:val="lowerLetter"/>
      <w:lvlText w:val="(%5)"/>
      <w:lvlJc w:val="left"/>
      <w:pPr>
        <w:ind w:left="3686" w:hanging="567"/>
      </w:pPr>
      <w:rPr>
        <w:rFonts w:hint="default"/>
      </w:rPr>
    </w:lvl>
    <w:lvl w:ilvl="5">
      <w:start w:val="1"/>
      <w:numFmt w:val="lowerRoman"/>
      <w:lvlText w:val="(%6)"/>
      <w:lvlJc w:val="left"/>
      <w:pPr>
        <w:ind w:left="4253" w:hanging="567"/>
      </w:pPr>
      <w:rPr>
        <w:rFonts w:hint="default"/>
      </w:rPr>
    </w:lvl>
    <w:lvl w:ilvl="6">
      <w:start w:val="1"/>
      <w:numFmt w:val="decimal"/>
      <w:lvlText w:val="%7."/>
      <w:lvlJc w:val="left"/>
      <w:pPr>
        <w:ind w:left="4820" w:hanging="567"/>
      </w:pPr>
      <w:rPr>
        <w:rFonts w:hint="default"/>
      </w:rPr>
    </w:lvl>
    <w:lvl w:ilvl="7">
      <w:start w:val="1"/>
      <w:numFmt w:val="lowerLetter"/>
      <w:lvlText w:val="%8."/>
      <w:lvlJc w:val="left"/>
      <w:pPr>
        <w:ind w:left="5387" w:hanging="567"/>
      </w:pPr>
      <w:rPr>
        <w:rFonts w:hint="default"/>
      </w:rPr>
    </w:lvl>
    <w:lvl w:ilvl="8">
      <w:start w:val="1"/>
      <w:numFmt w:val="lowerRoman"/>
      <w:lvlText w:val="%9."/>
      <w:lvlJc w:val="left"/>
      <w:pPr>
        <w:ind w:left="5954" w:hanging="567"/>
      </w:pPr>
      <w:rPr>
        <w:rFonts w:hint="default"/>
      </w:rPr>
    </w:lvl>
  </w:abstractNum>
  <w:abstractNum w:abstractNumId="14" w15:restartNumberingAfterBreak="0">
    <w:nsid w:val="1DCD76B4"/>
    <w:multiLevelType w:val="hybridMultilevel"/>
    <w:tmpl w:val="EF9CD5F2"/>
    <w:lvl w:ilvl="0" w:tplc="8DB847CC">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DF74FAF"/>
    <w:multiLevelType w:val="multilevel"/>
    <w:tmpl w:val="330499B8"/>
    <w:styleLink w:val="Plainnumberlist"/>
    <w:lvl w:ilvl="0">
      <w:start w:val="1"/>
      <w:numFmt w:val="decimal"/>
      <w:pStyle w:val="Plainnumber"/>
      <w:lvlText w:val="%1."/>
      <w:lvlJc w:val="left"/>
      <w:pPr>
        <w:ind w:left="851" w:hanging="851"/>
      </w:pPr>
      <w:rPr>
        <w:rFonts w:hint="default"/>
      </w:rPr>
    </w:lvl>
    <w:lvl w:ilvl="1">
      <w:start w:val="1"/>
      <w:numFmt w:val="decimal"/>
      <w:lvlText w:val="%2."/>
      <w:lvlJc w:val="left"/>
      <w:pPr>
        <w:ind w:left="1418" w:hanging="851"/>
      </w:pPr>
      <w:rPr>
        <w:rFonts w:hint="default"/>
      </w:rPr>
    </w:lvl>
    <w:lvl w:ilvl="2">
      <w:start w:val="1"/>
      <w:numFmt w:val="decimal"/>
      <w:lvlText w:val="%3."/>
      <w:lvlJc w:val="left"/>
      <w:pPr>
        <w:ind w:left="1985" w:hanging="851"/>
      </w:pPr>
      <w:rPr>
        <w:rFonts w:hint="default"/>
      </w:rPr>
    </w:lvl>
    <w:lvl w:ilvl="3">
      <w:start w:val="1"/>
      <w:numFmt w:val="decimal"/>
      <w:lvlText w:val="(%4)"/>
      <w:lvlJc w:val="left"/>
      <w:pPr>
        <w:ind w:left="2552" w:hanging="851"/>
      </w:pPr>
      <w:rPr>
        <w:rFonts w:hint="default"/>
      </w:rPr>
    </w:lvl>
    <w:lvl w:ilvl="4">
      <w:start w:val="1"/>
      <w:numFmt w:val="lowerLetter"/>
      <w:lvlText w:val="(%5)"/>
      <w:lvlJc w:val="left"/>
      <w:pPr>
        <w:ind w:left="3119" w:hanging="851"/>
      </w:pPr>
      <w:rPr>
        <w:rFonts w:hint="default"/>
      </w:rPr>
    </w:lvl>
    <w:lvl w:ilvl="5">
      <w:start w:val="1"/>
      <w:numFmt w:val="lowerRoman"/>
      <w:lvlText w:val="(%6)"/>
      <w:lvlJc w:val="left"/>
      <w:pPr>
        <w:ind w:left="3686" w:hanging="851"/>
      </w:pPr>
      <w:rPr>
        <w:rFonts w:hint="default"/>
      </w:rPr>
    </w:lvl>
    <w:lvl w:ilvl="6">
      <w:start w:val="1"/>
      <w:numFmt w:val="decimal"/>
      <w:lvlText w:val="%7."/>
      <w:lvlJc w:val="left"/>
      <w:pPr>
        <w:ind w:left="4253" w:hanging="851"/>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ind w:left="5387" w:hanging="851"/>
      </w:pPr>
      <w:rPr>
        <w:rFonts w:hint="default"/>
      </w:rPr>
    </w:lvl>
  </w:abstractNum>
  <w:abstractNum w:abstractNumId="16" w15:restartNumberingAfterBreak="0">
    <w:nsid w:val="255F5536"/>
    <w:multiLevelType w:val="multilevel"/>
    <w:tmpl w:val="EF0890EC"/>
    <w:numStyleLink w:val="SchedulePartList"/>
  </w:abstractNum>
  <w:abstractNum w:abstractNumId="17" w15:restartNumberingAfterBreak="0">
    <w:nsid w:val="3D145A43"/>
    <w:multiLevelType w:val="hybridMultilevel"/>
    <w:tmpl w:val="6B7A8CB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F22209"/>
    <w:multiLevelType w:val="multilevel"/>
    <w:tmpl w:val="F8D23416"/>
    <w:numStyleLink w:val="NumberedHeadings"/>
  </w:abstractNum>
  <w:abstractNum w:abstractNumId="19" w15:restartNumberingAfterBreak="0">
    <w:nsid w:val="439A2EE0"/>
    <w:multiLevelType w:val="multilevel"/>
    <w:tmpl w:val="F8D23416"/>
    <w:styleLink w:val="Number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lowerLetter"/>
      <w:pStyle w:val="AlphaListLevel1"/>
      <w:lvlText w:val="(%6)"/>
      <w:lvlJc w:val="left"/>
      <w:pPr>
        <w:ind w:left="851" w:hanging="851"/>
      </w:pPr>
      <w:rPr>
        <w:rFonts w:hint="default"/>
      </w:rPr>
    </w:lvl>
    <w:lvl w:ilvl="6">
      <w:start w:val="1"/>
      <w:numFmt w:val="lowerRoman"/>
      <w:pStyle w:val="RomanListLevel1"/>
      <w:lvlText w:val="(%7)"/>
      <w:lvlJc w:val="left"/>
      <w:pPr>
        <w:ind w:left="1418" w:hanging="567"/>
      </w:pPr>
      <w:rPr>
        <w:rFonts w:hint="default"/>
      </w:rPr>
    </w:lvl>
    <w:lvl w:ilvl="7">
      <w:start w:val="1"/>
      <w:numFmt w:val="upperLetter"/>
      <w:pStyle w:val="LetterListLevel1"/>
      <w:lvlText w:val="(%8)"/>
      <w:lvlJc w:val="left"/>
      <w:pPr>
        <w:ind w:left="1985" w:hanging="567"/>
      </w:pPr>
      <w:rPr>
        <w:rFonts w:hint="default"/>
      </w:rPr>
    </w:lvl>
    <w:lvl w:ilvl="8">
      <w:start w:val="1"/>
      <w:numFmt w:val="decimal"/>
      <w:pStyle w:val="NumberedListLevel1"/>
      <w:lvlText w:val="(%9)"/>
      <w:lvlJc w:val="left"/>
      <w:pPr>
        <w:ind w:left="2552" w:hanging="567"/>
      </w:pPr>
      <w:rPr>
        <w:rFonts w:hint="default"/>
      </w:rPr>
    </w:lvl>
  </w:abstractNum>
  <w:abstractNum w:abstractNumId="20" w15:restartNumberingAfterBreak="0">
    <w:nsid w:val="46F43F74"/>
    <w:multiLevelType w:val="multilevel"/>
    <w:tmpl w:val="EF0890EC"/>
    <w:styleLink w:val="SchedulePartList"/>
    <w:lvl w:ilvl="0">
      <w:start w:val="1"/>
      <w:numFmt w:val="upperRoman"/>
      <w:pStyle w:val="Schedule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C01455"/>
    <w:multiLevelType w:val="multilevel"/>
    <w:tmpl w:val="330499B8"/>
    <w:numStyleLink w:val="Plainnumberlist"/>
  </w:abstractNum>
  <w:abstractNum w:abstractNumId="22" w15:restartNumberingAfterBreak="0">
    <w:nsid w:val="51B14BE7"/>
    <w:multiLevelType w:val="multilevel"/>
    <w:tmpl w:val="0DDC24DC"/>
    <w:name w:val="listan2"/>
    <w:lvl w:ilvl="0">
      <w:start w:val="1"/>
      <w:numFmt w:val="decimal"/>
      <w:pStyle w:val="List"/>
      <w:lvlText w:val="%1."/>
      <w:lvlJc w:val="left"/>
      <w:pPr>
        <w:tabs>
          <w:tab w:val="num" w:pos="360"/>
        </w:tabs>
        <w:ind w:left="360" w:hanging="360"/>
      </w:pPr>
      <w:rPr>
        <w:rFonts w:hint="default"/>
      </w:rPr>
    </w:lvl>
    <w:lvl w:ilvl="1">
      <w:start w:val="1"/>
      <w:numFmt w:val="bullet"/>
      <w:pStyle w:val="List2"/>
      <w:lvlText w:val="-"/>
      <w:lvlJc w:val="left"/>
      <w:pPr>
        <w:tabs>
          <w:tab w:val="num" w:pos="1077"/>
        </w:tabs>
        <w:ind w:left="1077" w:hanging="357"/>
      </w:pPr>
      <w:rPr>
        <w:rFonts w:ascii="Arial" w:hAnsi="Arial" w:hint="default"/>
        <w:color w:val="auto"/>
      </w:rPr>
    </w:lvl>
    <w:lvl w:ilvl="2">
      <w:start w:val="1"/>
      <w:numFmt w:val="bullet"/>
      <w:pStyle w:val="List3"/>
      <w:lvlText w:val="◦"/>
      <w:lvlJc w:val="left"/>
      <w:pPr>
        <w:tabs>
          <w:tab w:val="num" w:pos="1435"/>
        </w:tabs>
        <w:ind w:left="1435" w:hanging="358"/>
      </w:pPr>
      <w:rPr>
        <w:rFonts w:ascii="Tahoma" w:hAnsi="Tahoma"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037E09"/>
    <w:multiLevelType w:val="multilevel"/>
    <w:tmpl w:val="7AAA4AC4"/>
    <w:styleLink w:val="ListNumberedLevel2"/>
    <w:lvl w:ilvl="0">
      <w:start w:val="1"/>
      <w:numFmt w:val="lowerLetter"/>
      <w:pStyle w:val="AlphaListLevel2"/>
      <w:lvlText w:val="(%1)"/>
      <w:lvlJc w:val="left"/>
      <w:pPr>
        <w:tabs>
          <w:tab w:val="num" w:pos="851"/>
        </w:tabs>
        <w:ind w:left="1418" w:hanging="567"/>
      </w:pPr>
      <w:rPr>
        <w:rFonts w:hint="default"/>
      </w:rPr>
    </w:lvl>
    <w:lvl w:ilvl="1">
      <w:start w:val="1"/>
      <w:numFmt w:val="lowerRoman"/>
      <w:pStyle w:val="RomanListLevel2"/>
      <w:lvlText w:val="(%2)"/>
      <w:lvlJc w:val="left"/>
      <w:pPr>
        <w:tabs>
          <w:tab w:val="num" w:pos="1418"/>
        </w:tabs>
        <w:ind w:left="1985" w:hanging="567"/>
      </w:pPr>
      <w:rPr>
        <w:rFonts w:hint="default"/>
      </w:rPr>
    </w:lvl>
    <w:lvl w:ilvl="2">
      <w:start w:val="1"/>
      <w:numFmt w:val="upperLetter"/>
      <w:pStyle w:val="LetterListLevel2"/>
      <w:lvlText w:val="(%3)"/>
      <w:lvlJc w:val="left"/>
      <w:pPr>
        <w:tabs>
          <w:tab w:val="num" w:pos="1985"/>
        </w:tabs>
        <w:ind w:left="2552" w:hanging="567"/>
      </w:pPr>
      <w:rPr>
        <w:rFonts w:hint="default"/>
      </w:rPr>
    </w:lvl>
    <w:lvl w:ilvl="3">
      <w:start w:val="1"/>
      <w:numFmt w:val="decimal"/>
      <w:pStyle w:val="NumberedListLevel2"/>
      <w:lvlText w:val="(%4)"/>
      <w:lvlJc w:val="left"/>
      <w:pPr>
        <w:tabs>
          <w:tab w:val="num" w:pos="2552"/>
        </w:tabs>
        <w:ind w:left="3119" w:hanging="567"/>
      </w:pPr>
      <w:rPr>
        <w:rFonts w:hint="default"/>
      </w:rPr>
    </w:lvl>
    <w:lvl w:ilvl="4">
      <w:start w:val="1"/>
      <w:numFmt w:val="lowerLetter"/>
      <w:lvlText w:val="(%5)"/>
      <w:lvlJc w:val="left"/>
      <w:pPr>
        <w:tabs>
          <w:tab w:val="num" w:pos="3119"/>
        </w:tabs>
        <w:ind w:left="3686" w:hanging="567"/>
      </w:pPr>
      <w:rPr>
        <w:rFonts w:hint="default"/>
      </w:rPr>
    </w:lvl>
    <w:lvl w:ilvl="5">
      <w:start w:val="1"/>
      <w:numFmt w:val="lowerRoman"/>
      <w:lvlText w:val="(%6)"/>
      <w:lvlJc w:val="left"/>
      <w:pPr>
        <w:tabs>
          <w:tab w:val="num" w:pos="3686"/>
        </w:tabs>
        <w:ind w:left="4253" w:hanging="567"/>
      </w:pPr>
      <w:rPr>
        <w:rFonts w:hint="default"/>
      </w:rPr>
    </w:lvl>
    <w:lvl w:ilvl="6">
      <w:start w:val="1"/>
      <w:numFmt w:val="decimal"/>
      <w:lvlText w:val="%7."/>
      <w:lvlJc w:val="left"/>
      <w:pPr>
        <w:tabs>
          <w:tab w:val="num" w:pos="4253"/>
        </w:tabs>
        <w:ind w:left="4820" w:hanging="567"/>
      </w:pPr>
      <w:rPr>
        <w:rFonts w:hint="default"/>
      </w:rPr>
    </w:lvl>
    <w:lvl w:ilvl="7">
      <w:start w:val="1"/>
      <w:numFmt w:val="lowerLetter"/>
      <w:lvlText w:val="%8."/>
      <w:lvlJc w:val="left"/>
      <w:pPr>
        <w:tabs>
          <w:tab w:val="num" w:pos="4820"/>
        </w:tabs>
        <w:ind w:left="5387" w:hanging="567"/>
      </w:pPr>
      <w:rPr>
        <w:rFonts w:hint="default"/>
      </w:rPr>
    </w:lvl>
    <w:lvl w:ilvl="8">
      <w:start w:val="1"/>
      <w:numFmt w:val="lowerRoman"/>
      <w:lvlText w:val="%9."/>
      <w:lvlJc w:val="left"/>
      <w:pPr>
        <w:tabs>
          <w:tab w:val="num" w:pos="5387"/>
        </w:tabs>
        <w:ind w:left="5954" w:hanging="567"/>
      </w:pPr>
      <w:rPr>
        <w:rFonts w:hint="default"/>
      </w:rPr>
    </w:lvl>
  </w:abstractNum>
  <w:abstractNum w:abstractNumId="24" w15:restartNumberingAfterBreak="0">
    <w:nsid w:val="622853F5"/>
    <w:multiLevelType w:val="multilevel"/>
    <w:tmpl w:val="D6F2A510"/>
    <w:numStyleLink w:val="ScheduleList"/>
  </w:abstractNum>
  <w:abstractNum w:abstractNumId="25" w15:restartNumberingAfterBreak="0">
    <w:nsid w:val="630468A9"/>
    <w:multiLevelType w:val="hybridMultilevel"/>
    <w:tmpl w:val="6C429A10"/>
    <w:lvl w:ilvl="0" w:tplc="3C54ED1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457312B"/>
    <w:multiLevelType w:val="hybridMultilevel"/>
    <w:tmpl w:val="15EA086C"/>
    <w:lvl w:ilvl="0" w:tplc="8DB847CC">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56B7E5A"/>
    <w:multiLevelType w:val="hybridMultilevel"/>
    <w:tmpl w:val="372E5392"/>
    <w:lvl w:ilvl="0" w:tplc="8DB847C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6C0E4D"/>
    <w:multiLevelType w:val="multilevel"/>
    <w:tmpl w:val="DDCEBD76"/>
    <w:styleLink w:val="WhereasList"/>
    <w:lvl w:ilvl="0">
      <w:start w:val="1"/>
      <w:numFmt w:val="upperLetter"/>
      <w:pStyle w:val="Whereaslist0"/>
      <w:lvlText w:val="(%1)"/>
      <w:lvlJc w:val="left"/>
      <w:pPr>
        <w:ind w:left="851" w:hanging="851"/>
      </w:pPr>
      <w:rPr>
        <w:rFonts w:hint="default"/>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6EE058DB"/>
    <w:multiLevelType w:val="multilevel"/>
    <w:tmpl w:val="F42E470C"/>
    <w:styleLink w:val="PartiesList"/>
    <w:lvl w:ilvl="0">
      <w:start w:val="1"/>
      <w:numFmt w:val="decimal"/>
      <w:pStyle w:val="Partieslist0"/>
      <w:lvlText w:val="(%1)"/>
      <w:lvlJc w:val="left"/>
      <w:pPr>
        <w:ind w:left="851" w:hanging="851"/>
      </w:pPr>
      <w:rPr>
        <w:rFonts w:hint="default"/>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0" w15:restartNumberingAfterBreak="0">
    <w:nsid w:val="716E5669"/>
    <w:multiLevelType w:val="hybridMultilevel"/>
    <w:tmpl w:val="AF164FD6"/>
    <w:lvl w:ilvl="0" w:tplc="72A2154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C2F5784"/>
    <w:multiLevelType w:val="multilevel"/>
    <w:tmpl w:val="DDCEBD76"/>
    <w:numStyleLink w:val="WhereasList"/>
  </w:abstractNum>
  <w:num w:numId="1" w16cid:durableId="1587566760">
    <w:abstractNumId w:val="8"/>
  </w:num>
  <w:num w:numId="2" w16cid:durableId="492335068">
    <w:abstractNumId w:val="3"/>
  </w:num>
  <w:num w:numId="3" w16cid:durableId="501360009">
    <w:abstractNumId w:val="2"/>
  </w:num>
  <w:num w:numId="4" w16cid:durableId="90858415">
    <w:abstractNumId w:val="1"/>
  </w:num>
  <w:num w:numId="5" w16cid:durableId="1669598452">
    <w:abstractNumId w:val="0"/>
  </w:num>
  <w:num w:numId="6" w16cid:durableId="1180774850">
    <w:abstractNumId w:val="9"/>
  </w:num>
  <w:num w:numId="7" w16cid:durableId="831022667">
    <w:abstractNumId w:val="7"/>
  </w:num>
  <w:num w:numId="8" w16cid:durableId="561403343">
    <w:abstractNumId w:val="6"/>
  </w:num>
  <w:num w:numId="9" w16cid:durableId="1916819347">
    <w:abstractNumId w:val="5"/>
  </w:num>
  <w:num w:numId="10" w16cid:durableId="235437119">
    <w:abstractNumId w:val="4"/>
  </w:num>
  <w:num w:numId="11" w16cid:durableId="1801459067">
    <w:abstractNumId w:val="22"/>
  </w:num>
  <w:num w:numId="12" w16cid:durableId="360664187">
    <w:abstractNumId w:val="29"/>
  </w:num>
  <w:num w:numId="13" w16cid:durableId="1714575178">
    <w:abstractNumId w:val="28"/>
  </w:num>
  <w:num w:numId="14" w16cid:durableId="1994212216">
    <w:abstractNumId w:val="19"/>
  </w:num>
  <w:num w:numId="15" w16cid:durableId="1865288404">
    <w:abstractNumId w:val="10"/>
  </w:num>
  <w:num w:numId="16" w16cid:durableId="571475564">
    <w:abstractNumId w:val="31"/>
  </w:num>
  <w:num w:numId="17" w16cid:durableId="388109903">
    <w:abstractNumId w:val="18"/>
    <w:lvlOverride w:ilvl="0">
      <w:lvl w:ilvl="0">
        <w:start w:val="1"/>
        <w:numFmt w:val="decimal"/>
        <w:pStyle w:val="Heading1"/>
        <w:lvlText w:val="%1."/>
        <w:lvlJc w:val="left"/>
        <w:pPr>
          <w:ind w:left="851" w:hanging="851"/>
        </w:pPr>
        <w:rPr>
          <w:rFonts w:hint="default"/>
        </w:rPr>
      </w:lvl>
    </w:lvlOverride>
  </w:num>
  <w:num w:numId="18" w16cid:durableId="2106681834">
    <w:abstractNumId w:val="23"/>
  </w:num>
  <w:num w:numId="19" w16cid:durableId="836573915">
    <w:abstractNumId w:val="20"/>
  </w:num>
  <w:num w:numId="20" w16cid:durableId="976303680">
    <w:abstractNumId w:val="13"/>
  </w:num>
  <w:num w:numId="21" w16cid:durableId="1756513811">
    <w:abstractNumId w:val="24"/>
  </w:num>
  <w:num w:numId="22" w16cid:durableId="1634142252">
    <w:abstractNumId w:val="11"/>
  </w:num>
  <w:num w:numId="23" w16cid:durableId="1419017501">
    <w:abstractNumId w:val="16"/>
  </w:num>
  <w:num w:numId="24" w16cid:durableId="689180549">
    <w:abstractNumId w:val="15"/>
  </w:num>
  <w:num w:numId="25" w16cid:durableId="1052853494">
    <w:abstractNumId w:val="21"/>
  </w:num>
  <w:num w:numId="26" w16cid:durableId="1692873189">
    <w:abstractNumId w:val="14"/>
  </w:num>
  <w:num w:numId="27" w16cid:durableId="2086685465">
    <w:abstractNumId w:val="18"/>
    <w:lvlOverride w:ilvl="0">
      <w:lvl w:ilvl="0">
        <w:start w:val="1"/>
        <w:numFmt w:val="decimal"/>
        <w:pStyle w:val="Heading1"/>
        <w:lvlText w:val="%1."/>
        <w:lvlJc w:val="left"/>
        <w:pPr>
          <w:ind w:left="851" w:hanging="851"/>
        </w:pPr>
        <w:rPr>
          <w:rFonts w:hint="default"/>
        </w:rPr>
      </w:lvl>
    </w:lvlOverride>
  </w:num>
  <w:num w:numId="28" w16cid:durableId="1684624099">
    <w:abstractNumId w:val="26"/>
  </w:num>
  <w:num w:numId="29" w16cid:durableId="458497622">
    <w:abstractNumId w:val="18"/>
    <w:lvlOverride w:ilvl="0">
      <w:lvl w:ilvl="0">
        <w:start w:val="1"/>
        <w:numFmt w:val="decimal"/>
        <w:pStyle w:val="Heading1"/>
        <w:lvlText w:val="%1."/>
        <w:lvlJc w:val="left"/>
        <w:pPr>
          <w:ind w:left="851" w:hanging="851"/>
        </w:pPr>
        <w:rPr>
          <w:rFonts w:hint="default"/>
        </w:rPr>
      </w:lvl>
    </w:lvlOverride>
  </w:num>
  <w:num w:numId="30" w16cid:durableId="1318798431">
    <w:abstractNumId w:val="18"/>
    <w:lvlOverride w:ilvl="0">
      <w:lvl w:ilvl="0">
        <w:start w:val="1"/>
        <w:numFmt w:val="decimal"/>
        <w:pStyle w:val="Heading1"/>
        <w:lvlText w:val="%1."/>
        <w:lvlJc w:val="left"/>
        <w:pPr>
          <w:ind w:left="851" w:hanging="851"/>
        </w:pPr>
        <w:rPr>
          <w:rFonts w:hint="default"/>
        </w:rPr>
      </w:lvl>
    </w:lvlOverride>
  </w:num>
  <w:num w:numId="31" w16cid:durableId="130826092">
    <w:abstractNumId w:val="18"/>
    <w:lvlOverride w:ilvl="0">
      <w:lvl w:ilvl="0">
        <w:start w:val="1"/>
        <w:numFmt w:val="decimal"/>
        <w:pStyle w:val="Heading1"/>
        <w:lvlText w:val="%1."/>
        <w:lvlJc w:val="left"/>
        <w:pPr>
          <w:ind w:left="851" w:hanging="851"/>
        </w:pPr>
        <w:rPr>
          <w:rFonts w:hint="default"/>
        </w:rPr>
      </w:lvl>
    </w:lvlOverride>
  </w:num>
  <w:num w:numId="32" w16cid:durableId="1022515383">
    <w:abstractNumId w:val="18"/>
    <w:lvlOverride w:ilvl="0">
      <w:lvl w:ilvl="0">
        <w:start w:val="1"/>
        <w:numFmt w:val="decimal"/>
        <w:pStyle w:val="Heading1"/>
        <w:lvlText w:val="%1."/>
        <w:lvlJc w:val="left"/>
        <w:pPr>
          <w:ind w:left="851" w:hanging="851"/>
        </w:pPr>
        <w:rPr>
          <w:rFonts w:hint="default"/>
        </w:rPr>
      </w:lvl>
    </w:lvlOverride>
  </w:num>
  <w:num w:numId="33" w16cid:durableId="564411212">
    <w:abstractNumId w:val="18"/>
    <w:lvlOverride w:ilvl="0">
      <w:lvl w:ilvl="0">
        <w:start w:val="1"/>
        <w:numFmt w:val="decimal"/>
        <w:pStyle w:val="Heading1"/>
        <w:lvlText w:val="%1."/>
        <w:lvlJc w:val="left"/>
        <w:pPr>
          <w:ind w:left="851" w:hanging="851"/>
        </w:pPr>
        <w:rPr>
          <w:rFonts w:hint="default"/>
        </w:rPr>
      </w:lvl>
    </w:lvlOverride>
  </w:num>
  <w:num w:numId="34" w16cid:durableId="597828852">
    <w:abstractNumId w:val="18"/>
    <w:lvlOverride w:ilvl="0">
      <w:lvl w:ilvl="0">
        <w:start w:val="1"/>
        <w:numFmt w:val="decimal"/>
        <w:pStyle w:val="Heading1"/>
        <w:lvlText w:val="%1."/>
        <w:lvlJc w:val="left"/>
        <w:pPr>
          <w:ind w:left="851" w:hanging="851"/>
        </w:pPr>
        <w:rPr>
          <w:rFonts w:hint="default"/>
        </w:rPr>
      </w:lvl>
    </w:lvlOverride>
  </w:num>
  <w:num w:numId="35" w16cid:durableId="1914655208">
    <w:abstractNumId w:val="18"/>
    <w:lvlOverride w:ilvl="0">
      <w:lvl w:ilvl="0">
        <w:start w:val="1"/>
        <w:numFmt w:val="decimal"/>
        <w:pStyle w:val="Heading1"/>
        <w:lvlText w:val="%1."/>
        <w:lvlJc w:val="left"/>
        <w:pPr>
          <w:ind w:left="851" w:hanging="851"/>
        </w:pPr>
        <w:rPr>
          <w:rFonts w:hint="default"/>
        </w:rPr>
      </w:lvl>
    </w:lvlOverride>
  </w:num>
  <w:num w:numId="36" w16cid:durableId="800467121">
    <w:abstractNumId w:val="18"/>
    <w:lvlOverride w:ilvl="0">
      <w:lvl w:ilvl="0">
        <w:start w:val="1"/>
        <w:numFmt w:val="decimal"/>
        <w:pStyle w:val="Heading1"/>
        <w:lvlText w:val="%1."/>
        <w:lvlJc w:val="left"/>
        <w:pPr>
          <w:ind w:left="851" w:hanging="851"/>
        </w:pPr>
        <w:rPr>
          <w:rFonts w:hint="default"/>
        </w:rPr>
      </w:lvl>
    </w:lvlOverride>
  </w:num>
  <w:num w:numId="37" w16cid:durableId="2107145439">
    <w:abstractNumId w:val="18"/>
    <w:lvlOverride w:ilvl="0">
      <w:lvl w:ilvl="0">
        <w:start w:val="1"/>
        <w:numFmt w:val="decimal"/>
        <w:pStyle w:val="Heading1"/>
        <w:lvlText w:val="%1."/>
        <w:lvlJc w:val="left"/>
        <w:pPr>
          <w:ind w:left="851" w:hanging="851"/>
        </w:pPr>
        <w:rPr>
          <w:rFonts w:hint="default"/>
        </w:rPr>
      </w:lvl>
    </w:lvlOverride>
  </w:num>
  <w:num w:numId="38" w16cid:durableId="690843187">
    <w:abstractNumId w:val="18"/>
    <w:lvlOverride w:ilvl="0">
      <w:lvl w:ilvl="0">
        <w:start w:val="1"/>
        <w:numFmt w:val="decimal"/>
        <w:pStyle w:val="Heading1"/>
        <w:lvlText w:val="%1."/>
        <w:lvlJc w:val="left"/>
        <w:pPr>
          <w:ind w:left="851" w:hanging="851"/>
        </w:pPr>
        <w:rPr>
          <w:rFonts w:hint="default"/>
        </w:rPr>
      </w:lvl>
    </w:lvlOverride>
  </w:num>
  <w:num w:numId="39" w16cid:durableId="1472098099">
    <w:abstractNumId w:val="18"/>
    <w:lvlOverride w:ilvl="0">
      <w:lvl w:ilvl="0">
        <w:start w:val="1"/>
        <w:numFmt w:val="decimal"/>
        <w:pStyle w:val="Heading1"/>
        <w:lvlText w:val="%1."/>
        <w:lvlJc w:val="left"/>
        <w:pPr>
          <w:ind w:left="851" w:hanging="851"/>
        </w:pPr>
        <w:rPr>
          <w:rFonts w:hint="default"/>
        </w:rPr>
      </w:lvl>
    </w:lvlOverride>
  </w:num>
  <w:num w:numId="40" w16cid:durableId="726102102">
    <w:abstractNumId w:val="18"/>
    <w:lvlOverride w:ilvl="0">
      <w:lvl w:ilvl="0">
        <w:start w:val="1"/>
        <w:numFmt w:val="decimal"/>
        <w:pStyle w:val="Heading1"/>
        <w:lvlText w:val="%1."/>
        <w:lvlJc w:val="left"/>
        <w:pPr>
          <w:ind w:left="851" w:hanging="851"/>
        </w:pPr>
        <w:rPr>
          <w:rFonts w:hint="default"/>
        </w:rPr>
      </w:lvl>
    </w:lvlOverride>
  </w:num>
  <w:num w:numId="41" w16cid:durableId="583298035">
    <w:abstractNumId w:val="18"/>
    <w:lvlOverride w:ilvl="0">
      <w:lvl w:ilvl="0">
        <w:start w:val="1"/>
        <w:numFmt w:val="decimal"/>
        <w:pStyle w:val="Heading1"/>
        <w:lvlText w:val="%1."/>
        <w:lvlJc w:val="left"/>
        <w:pPr>
          <w:ind w:left="851" w:hanging="851"/>
        </w:pPr>
        <w:rPr>
          <w:rFonts w:hint="default"/>
        </w:rPr>
      </w:lvl>
    </w:lvlOverride>
  </w:num>
  <w:num w:numId="42" w16cid:durableId="140974442">
    <w:abstractNumId w:val="17"/>
  </w:num>
  <w:num w:numId="43" w16cid:durableId="269288613">
    <w:abstractNumId w:val="27"/>
  </w:num>
  <w:num w:numId="44" w16cid:durableId="681929901">
    <w:abstractNumId w:val="25"/>
  </w:num>
  <w:num w:numId="45" w16cid:durableId="1263413289">
    <w:abstractNumId w:val="18"/>
    <w:lvlOverride w:ilvl="0">
      <w:lvl w:ilvl="0">
        <w:start w:val="1"/>
        <w:numFmt w:val="decimal"/>
        <w:pStyle w:val="Heading1"/>
        <w:lvlText w:val="%1."/>
        <w:lvlJc w:val="left"/>
        <w:pPr>
          <w:ind w:left="851" w:hanging="851"/>
        </w:pPr>
        <w:rPr>
          <w:rFonts w:hint="default"/>
        </w:rPr>
      </w:lvl>
    </w:lvlOverride>
  </w:num>
  <w:num w:numId="46" w16cid:durableId="1642342021">
    <w:abstractNumId w:val="18"/>
    <w:lvlOverride w:ilvl="0">
      <w:lvl w:ilvl="0">
        <w:start w:val="1"/>
        <w:numFmt w:val="decimal"/>
        <w:pStyle w:val="Heading1"/>
        <w:lvlText w:val="%1."/>
        <w:lvlJc w:val="left"/>
        <w:pPr>
          <w:ind w:left="851" w:hanging="851"/>
        </w:pPr>
        <w:rPr>
          <w:rFonts w:hint="default"/>
        </w:rPr>
      </w:lvl>
    </w:lvlOverride>
  </w:num>
  <w:num w:numId="47" w16cid:durableId="1211962230">
    <w:abstractNumId w:val="18"/>
    <w:lvlOverride w:ilvl="0">
      <w:lvl w:ilvl="0">
        <w:start w:val="1"/>
        <w:numFmt w:val="decimal"/>
        <w:pStyle w:val="Heading1"/>
        <w:lvlText w:val="%1."/>
        <w:lvlJc w:val="left"/>
        <w:pPr>
          <w:ind w:left="851" w:hanging="851"/>
        </w:pPr>
        <w:rPr>
          <w:rFonts w:hint="default"/>
        </w:rPr>
      </w:lvl>
    </w:lvlOverride>
  </w:num>
  <w:num w:numId="48" w16cid:durableId="1520116959">
    <w:abstractNumId w:val="30"/>
  </w:num>
  <w:num w:numId="49" w16cid:durableId="260261111">
    <w:abstractNumId w:val="18"/>
    <w:lvlOverride w:ilvl="0">
      <w:lvl w:ilvl="0">
        <w:start w:val="1"/>
        <w:numFmt w:val="decimal"/>
        <w:pStyle w:val="Heading1"/>
        <w:lvlText w:val="%1."/>
        <w:lvlJc w:val="left"/>
        <w:pPr>
          <w:ind w:left="851" w:hanging="851"/>
        </w:pPr>
        <w:rPr>
          <w:rFonts w:hint="default"/>
        </w:rPr>
      </w:lvl>
    </w:lvlOverride>
  </w:num>
  <w:num w:numId="50" w16cid:durableId="158866034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testHeading" w:val="btnHeading2"/>
    <w:docVar w:name="pdDOCID" w:val="--"/>
  </w:docVars>
  <w:rsids>
    <w:rsidRoot w:val="000D2312"/>
    <w:rsid w:val="00006A10"/>
    <w:rsid w:val="00010D22"/>
    <w:rsid w:val="0001141D"/>
    <w:rsid w:val="0001423B"/>
    <w:rsid w:val="00015588"/>
    <w:rsid w:val="000202E0"/>
    <w:rsid w:val="0002090D"/>
    <w:rsid w:val="00024063"/>
    <w:rsid w:val="00026C55"/>
    <w:rsid w:val="00027FC0"/>
    <w:rsid w:val="000311A3"/>
    <w:rsid w:val="00031DA7"/>
    <w:rsid w:val="000407C7"/>
    <w:rsid w:val="00040C2E"/>
    <w:rsid w:val="000618AA"/>
    <w:rsid w:val="00067197"/>
    <w:rsid w:val="000675E4"/>
    <w:rsid w:val="000725C3"/>
    <w:rsid w:val="00072BBF"/>
    <w:rsid w:val="00073DE9"/>
    <w:rsid w:val="0007649D"/>
    <w:rsid w:val="00076E0D"/>
    <w:rsid w:val="00077787"/>
    <w:rsid w:val="0008023B"/>
    <w:rsid w:val="000816E7"/>
    <w:rsid w:val="00084831"/>
    <w:rsid w:val="00087A29"/>
    <w:rsid w:val="00096A56"/>
    <w:rsid w:val="00096BD1"/>
    <w:rsid w:val="00097CCA"/>
    <w:rsid w:val="000C6F3A"/>
    <w:rsid w:val="000C7A66"/>
    <w:rsid w:val="000D0D44"/>
    <w:rsid w:val="000D2312"/>
    <w:rsid w:val="000D3616"/>
    <w:rsid w:val="000D42F7"/>
    <w:rsid w:val="000E2454"/>
    <w:rsid w:val="000E377D"/>
    <w:rsid w:val="000E56B2"/>
    <w:rsid w:val="000E60BE"/>
    <w:rsid w:val="000E744B"/>
    <w:rsid w:val="000F2B3A"/>
    <w:rsid w:val="000F3D27"/>
    <w:rsid w:val="000F49E1"/>
    <w:rsid w:val="000F595B"/>
    <w:rsid w:val="00100214"/>
    <w:rsid w:val="001027AC"/>
    <w:rsid w:val="00103DD3"/>
    <w:rsid w:val="00104530"/>
    <w:rsid w:val="00110511"/>
    <w:rsid w:val="00113137"/>
    <w:rsid w:val="0011403F"/>
    <w:rsid w:val="00115863"/>
    <w:rsid w:val="00120168"/>
    <w:rsid w:val="00122130"/>
    <w:rsid w:val="0012265D"/>
    <w:rsid w:val="001232A2"/>
    <w:rsid w:val="00124A83"/>
    <w:rsid w:val="001266B3"/>
    <w:rsid w:val="00133A42"/>
    <w:rsid w:val="00134425"/>
    <w:rsid w:val="00135AA4"/>
    <w:rsid w:val="00137593"/>
    <w:rsid w:val="0014294D"/>
    <w:rsid w:val="00143122"/>
    <w:rsid w:val="00144ABC"/>
    <w:rsid w:val="001467A6"/>
    <w:rsid w:val="00146CBB"/>
    <w:rsid w:val="00147E0F"/>
    <w:rsid w:val="00150A05"/>
    <w:rsid w:val="00155A82"/>
    <w:rsid w:val="00155C3D"/>
    <w:rsid w:val="0015647A"/>
    <w:rsid w:val="00160172"/>
    <w:rsid w:val="00160201"/>
    <w:rsid w:val="001658C8"/>
    <w:rsid w:val="00171E79"/>
    <w:rsid w:val="0017421D"/>
    <w:rsid w:val="001809C0"/>
    <w:rsid w:val="00181EFA"/>
    <w:rsid w:val="001834F3"/>
    <w:rsid w:val="001853BB"/>
    <w:rsid w:val="00186491"/>
    <w:rsid w:val="00191DD8"/>
    <w:rsid w:val="00194B31"/>
    <w:rsid w:val="001950E2"/>
    <w:rsid w:val="0019773B"/>
    <w:rsid w:val="00197924"/>
    <w:rsid w:val="001B0DA1"/>
    <w:rsid w:val="001B424A"/>
    <w:rsid w:val="001B6FA0"/>
    <w:rsid w:val="001B7ACD"/>
    <w:rsid w:val="001B7CBC"/>
    <w:rsid w:val="001C2900"/>
    <w:rsid w:val="001C33DB"/>
    <w:rsid w:val="001C7FAC"/>
    <w:rsid w:val="001E17EE"/>
    <w:rsid w:val="001E17F6"/>
    <w:rsid w:val="001E2467"/>
    <w:rsid w:val="001E7DB3"/>
    <w:rsid w:val="001F719B"/>
    <w:rsid w:val="001F7E34"/>
    <w:rsid w:val="002008DC"/>
    <w:rsid w:val="0020138B"/>
    <w:rsid w:val="00203704"/>
    <w:rsid w:val="00214258"/>
    <w:rsid w:val="00215839"/>
    <w:rsid w:val="00216F00"/>
    <w:rsid w:val="00217453"/>
    <w:rsid w:val="00223C5E"/>
    <w:rsid w:val="0022767F"/>
    <w:rsid w:val="00227CB6"/>
    <w:rsid w:val="002310AF"/>
    <w:rsid w:val="00233632"/>
    <w:rsid w:val="00233DA2"/>
    <w:rsid w:val="002351BF"/>
    <w:rsid w:val="00237BB0"/>
    <w:rsid w:val="0024415A"/>
    <w:rsid w:val="002623F9"/>
    <w:rsid w:val="00271BEE"/>
    <w:rsid w:val="00277AC2"/>
    <w:rsid w:val="00280C96"/>
    <w:rsid w:val="00292541"/>
    <w:rsid w:val="002948D6"/>
    <w:rsid w:val="00295299"/>
    <w:rsid w:val="00295813"/>
    <w:rsid w:val="002A1010"/>
    <w:rsid w:val="002A2C30"/>
    <w:rsid w:val="002A60B4"/>
    <w:rsid w:val="002A6E1F"/>
    <w:rsid w:val="002A7C32"/>
    <w:rsid w:val="002B0907"/>
    <w:rsid w:val="002B13F0"/>
    <w:rsid w:val="002B5156"/>
    <w:rsid w:val="002B586D"/>
    <w:rsid w:val="002B5F2C"/>
    <w:rsid w:val="002B6BBF"/>
    <w:rsid w:val="002C2718"/>
    <w:rsid w:val="002C2B02"/>
    <w:rsid w:val="002C2B8F"/>
    <w:rsid w:val="002C2FA7"/>
    <w:rsid w:val="002C4AC4"/>
    <w:rsid w:val="002C691B"/>
    <w:rsid w:val="002D185E"/>
    <w:rsid w:val="002D4758"/>
    <w:rsid w:val="002E023D"/>
    <w:rsid w:val="002E0985"/>
    <w:rsid w:val="002E1435"/>
    <w:rsid w:val="002E5FFB"/>
    <w:rsid w:val="002F3CB8"/>
    <w:rsid w:val="002F4810"/>
    <w:rsid w:val="002F5026"/>
    <w:rsid w:val="00302467"/>
    <w:rsid w:val="0030274D"/>
    <w:rsid w:val="00307DA6"/>
    <w:rsid w:val="00316FD1"/>
    <w:rsid w:val="00320CEA"/>
    <w:rsid w:val="00321150"/>
    <w:rsid w:val="0032784B"/>
    <w:rsid w:val="00335DD2"/>
    <w:rsid w:val="00340DD5"/>
    <w:rsid w:val="00346C3F"/>
    <w:rsid w:val="003506EC"/>
    <w:rsid w:val="00362F1D"/>
    <w:rsid w:val="00366460"/>
    <w:rsid w:val="003666EB"/>
    <w:rsid w:val="0037024B"/>
    <w:rsid w:val="003737B6"/>
    <w:rsid w:val="0038055D"/>
    <w:rsid w:val="00380FF7"/>
    <w:rsid w:val="00381560"/>
    <w:rsid w:val="00383D6F"/>
    <w:rsid w:val="003841FB"/>
    <w:rsid w:val="00386DC5"/>
    <w:rsid w:val="00392E05"/>
    <w:rsid w:val="00394331"/>
    <w:rsid w:val="00396BC9"/>
    <w:rsid w:val="003A1806"/>
    <w:rsid w:val="003A437F"/>
    <w:rsid w:val="003B112B"/>
    <w:rsid w:val="003B14C1"/>
    <w:rsid w:val="003B166A"/>
    <w:rsid w:val="003B50D7"/>
    <w:rsid w:val="003C5ACB"/>
    <w:rsid w:val="003F0C93"/>
    <w:rsid w:val="00403750"/>
    <w:rsid w:val="004152BA"/>
    <w:rsid w:val="00417601"/>
    <w:rsid w:val="00421E9B"/>
    <w:rsid w:val="0042636C"/>
    <w:rsid w:val="00426D93"/>
    <w:rsid w:val="0043042F"/>
    <w:rsid w:val="004309AD"/>
    <w:rsid w:val="00431251"/>
    <w:rsid w:val="00431AC7"/>
    <w:rsid w:val="00433F35"/>
    <w:rsid w:val="004340C3"/>
    <w:rsid w:val="004350E0"/>
    <w:rsid w:val="00435437"/>
    <w:rsid w:val="004358DF"/>
    <w:rsid w:val="004361A4"/>
    <w:rsid w:val="00440899"/>
    <w:rsid w:val="00445CCB"/>
    <w:rsid w:val="004627DA"/>
    <w:rsid w:val="00463EE6"/>
    <w:rsid w:val="00465E82"/>
    <w:rsid w:val="00466BC6"/>
    <w:rsid w:val="0047496E"/>
    <w:rsid w:val="0048278C"/>
    <w:rsid w:val="00483517"/>
    <w:rsid w:val="00483D6C"/>
    <w:rsid w:val="00484589"/>
    <w:rsid w:val="00486295"/>
    <w:rsid w:val="00487E14"/>
    <w:rsid w:val="004910BA"/>
    <w:rsid w:val="00491246"/>
    <w:rsid w:val="004914A1"/>
    <w:rsid w:val="00491D6F"/>
    <w:rsid w:val="0049341E"/>
    <w:rsid w:val="004A129F"/>
    <w:rsid w:val="004A1CF4"/>
    <w:rsid w:val="004A6A27"/>
    <w:rsid w:val="004A6DE7"/>
    <w:rsid w:val="004B09D8"/>
    <w:rsid w:val="004B2CB5"/>
    <w:rsid w:val="004B32CA"/>
    <w:rsid w:val="004B4D78"/>
    <w:rsid w:val="004B5DCE"/>
    <w:rsid w:val="004B6CE8"/>
    <w:rsid w:val="004C2C25"/>
    <w:rsid w:val="004C365C"/>
    <w:rsid w:val="004C655E"/>
    <w:rsid w:val="004D05D8"/>
    <w:rsid w:val="004D55A3"/>
    <w:rsid w:val="004D630F"/>
    <w:rsid w:val="004D7557"/>
    <w:rsid w:val="004E70D3"/>
    <w:rsid w:val="004F02C9"/>
    <w:rsid w:val="00507C8C"/>
    <w:rsid w:val="00507DBD"/>
    <w:rsid w:val="00521CBF"/>
    <w:rsid w:val="0052678E"/>
    <w:rsid w:val="00526D82"/>
    <w:rsid w:val="00531071"/>
    <w:rsid w:val="00532479"/>
    <w:rsid w:val="00535035"/>
    <w:rsid w:val="00535A61"/>
    <w:rsid w:val="00540ABC"/>
    <w:rsid w:val="00541B65"/>
    <w:rsid w:val="00545C62"/>
    <w:rsid w:val="00553718"/>
    <w:rsid w:val="00553982"/>
    <w:rsid w:val="005546B1"/>
    <w:rsid w:val="00556030"/>
    <w:rsid w:val="00556F40"/>
    <w:rsid w:val="00562A5D"/>
    <w:rsid w:val="00567DD2"/>
    <w:rsid w:val="00571694"/>
    <w:rsid w:val="00573CCE"/>
    <w:rsid w:val="0057631C"/>
    <w:rsid w:val="00577AB5"/>
    <w:rsid w:val="00582737"/>
    <w:rsid w:val="00594FAE"/>
    <w:rsid w:val="005A081F"/>
    <w:rsid w:val="005A2C0B"/>
    <w:rsid w:val="005A6637"/>
    <w:rsid w:val="005A7D92"/>
    <w:rsid w:val="005B3B8A"/>
    <w:rsid w:val="005B7A6E"/>
    <w:rsid w:val="005B7B8F"/>
    <w:rsid w:val="005C0A67"/>
    <w:rsid w:val="005C0E38"/>
    <w:rsid w:val="005C154D"/>
    <w:rsid w:val="005C19DA"/>
    <w:rsid w:val="005C5DAA"/>
    <w:rsid w:val="005C606F"/>
    <w:rsid w:val="005C6791"/>
    <w:rsid w:val="005C7736"/>
    <w:rsid w:val="005D1176"/>
    <w:rsid w:val="005D28EC"/>
    <w:rsid w:val="005D4129"/>
    <w:rsid w:val="005D4AAD"/>
    <w:rsid w:val="005D6339"/>
    <w:rsid w:val="005E1F0F"/>
    <w:rsid w:val="005E551E"/>
    <w:rsid w:val="005E622E"/>
    <w:rsid w:val="005E6C75"/>
    <w:rsid w:val="005F0517"/>
    <w:rsid w:val="005F77DE"/>
    <w:rsid w:val="00602DC8"/>
    <w:rsid w:val="00604C28"/>
    <w:rsid w:val="00611CBA"/>
    <w:rsid w:val="006129C3"/>
    <w:rsid w:val="006135A2"/>
    <w:rsid w:val="00616721"/>
    <w:rsid w:val="00616AB6"/>
    <w:rsid w:val="00616B7F"/>
    <w:rsid w:val="00617D74"/>
    <w:rsid w:val="006205DA"/>
    <w:rsid w:val="00620FBD"/>
    <w:rsid w:val="00622687"/>
    <w:rsid w:val="00623351"/>
    <w:rsid w:val="006234F1"/>
    <w:rsid w:val="0062426A"/>
    <w:rsid w:val="00630318"/>
    <w:rsid w:val="006322B1"/>
    <w:rsid w:val="00632EF4"/>
    <w:rsid w:val="006335EF"/>
    <w:rsid w:val="0063460B"/>
    <w:rsid w:val="00634A5E"/>
    <w:rsid w:val="0063523D"/>
    <w:rsid w:val="0063770A"/>
    <w:rsid w:val="00637F52"/>
    <w:rsid w:val="0064686D"/>
    <w:rsid w:val="00647403"/>
    <w:rsid w:val="0065218A"/>
    <w:rsid w:val="00656BCB"/>
    <w:rsid w:val="00656EA6"/>
    <w:rsid w:val="0066095A"/>
    <w:rsid w:val="006666BB"/>
    <w:rsid w:val="00673222"/>
    <w:rsid w:val="00675250"/>
    <w:rsid w:val="00676FA5"/>
    <w:rsid w:val="00687C70"/>
    <w:rsid w:val="0069526D"/>
    <w:rsid w:val="0069535F"/>
    <w:rsid w:val="006A1615"/>
    <w:rsid w:val="006A233F"/>
    <w:rsid w:val="006A7C4F"/>
    <w:rsid w:val="006B0F63"/>
    <w:rsid w:val="006B140E"/>
    <w:rsid w:val="006B319C"/>
    <w:rsid w:val="006D143D"/>
    <w:rsid w:val="006D7B55"/>
    <w:rsid w:val="006E2365"/>
    <w:rsid w:val="006F055C"/>
    <w:rsid w:val="0071231D"/>
    <w:rsid w:val="00722F7B"/>
    <w:rsid w:val="0072305D"/>
    <w:rsid w:val="00724BDD"/>
    <w:rsid w:val="00726E5F"/>
    <w:rsid w:val="00737E95"/>
    <w:rsid w:val="00740A7C"/>
    <w:rsid w:val="00746583"/>
    <w:rsid w:val="00751911"/>
    <w:rsid w:val="00762159"/>
    <w:rsid w:val="00774DA9"/>
    <w:rsid w:val="007765CE"/>
    <w:rsid w:val="0078087E"/>
    <w:rsid w:val="0078645A"/>
    <w:rsid w:val="00793310"/>
    <w:rsid w:val="00794AD4"/>
    <w:rsid w:val="00795326"/>
    <w:rsid w:val="007A1EBD"/>
    <w:rsid w:val="007A3C9D"/>
    <w:rsid w:val="007A479F"/>
    <w:rsid w:val="007A4B8C"/>
    <w:rsid w:val="007B1CC5"/>
    <w:rsid w:val="007B4EC4"/>
    <w:rsid w:val="007B6A42"/>
    <w:rsid w:val="007C4C9A"/>
    <w:rsid w:val="007C5A41"/>
    <w:rsid w:val="007D4A91"/>
    <w:rsid w:val="007D51B0"/>
    <w:rsid w:val="007D6D5C"/>
    <w:rsid w:val="007E2156"/>
    <w:rsid w:val="007E34DA"/>
    <w:rsid w:val="007E43C5"/>
    <w:rsid w:val="007E5246"/>
    <w:rsid w:val="007E574B"/>
    <w:rsid w:val="007F0D74"/>
    <w:rsid w:val="007F32B8"/>
    <w:rsid w:val="007F67E0"/>
    <w:rsid w:val="0080001D"/>
    <w:rsid w:val="00801033"/>
    <w:rsid w:val="00802693"/>
    <w:rsid w:val="00817E93"/>
    <w:rsid w:val="00822B78"/>
    <w:rsid w:val="0082355F"/>
    <w:rsid w:val="0082382A"/>
    <w:rsid w:val="00830853"/>
    <w:rsid w:val="00833E18"/>
    <w:rsid w:val="00836FF7"/>
    <w:rsid w:val="00842C0F"/>
    <w:rsid w:val="00846EF6"/>
    <w:rsid w:val="00847089"/>
    <w:rsid w:val="00847606"/>
    <w:rsid w:val="00850C4D"/>
    <w:rsid w:val="00852E6F"/>
    <w:rsid w:val="0085403E"/>
    <w:rsid w:val="00855EDC"/>
    <w:rsid w:val="00856166"/>
    <w:rsid w:val="00863A58"/>
    <w:rsid w:val="00866F3D"/>
    <w:rsid w:val="0087353E"/>
    <w:rsid w:val="00874E83"/>
    <w:rsid w:val="008771D0"/>
    <w:rsid w:val="008807CE"/>
    <w:rsid w:val="0088345E"/>
    <w:rsid w:val="00884E82"/>
    <w:rsid w:val="00885F60"/>
    <w:rsid w:val="008865A0"/>
    <w:rsid w:val="0089408B"/>
    <w:rsid w:val="00894A86"/>
    <w:rsid w:val="008A3746"/>
    <w:rsid w:val="008A3837"/>
    <w:rsid w:val="008A5070"/>
    <w:rsid w:val="008A58F2"/>
    <w:rsid w:val="008A760C"/>
    <w:rsid w:val="008B4F8E"/>
    <w:rsid w:val="008B54D1"/>
    <w:rsid w:val="008B6D5C"/>
    <w:rsid w:val="008C0A4B"/>
    <w:rsid w:val="008C35A1"/>
    <w:rsid w:val="008D24EE"/>
    <w:rsid w:val="008D3EF1"/>
    <w:rsid w:val="008D5263"/>
    <w:rsid w:val="008D5912"/>
    <w:rsid w:val="008D5F9A"/>
    <w:rsid w:val="008E2263"/>
    <w:rsid w:val="008E433C"/>
    <w:rsid w:val="008E74F5"/>
    <w:rsid w:val="008F0436"/>
    <w:rsid w:val="008F13AA"/>
    <w:rsid w:val="008F2A8E"/>
    <w:rsid w:val="008F2D40"/>
    <w:rsid w:val="008F4FAD"/>
    <w:rsid w:val="008F68FA"/>
    <w:rsid w:val="008F700C"/>
    <w:rsid w:val="00900A77"/>
    <w:rsid w:val="00901621"/>
    <w:rsid w:val="009110EC"/>
    <w:rsid w:val="009113A4"/>
    <w:rsid w:val="0091537C"/>
    <w:rsid w:val="00921008"/>
    <w:rsid w:val="00921134"/>
    <w:rsid w:val="00922936"/>
    <w:rsid w:val="009245CB"/>
    <w:rsid w:val="00927539"/>
    <w:rsid w:val="00932458"/>
    <w:rsid w:val="009339C0"/>
    <w:rsid w:val="00934AE5"/>
    <w:rsid w:val="009469F0"/>
    <w:rsid w:val="00946DFD"/>
    <w:rsid w:val="00947E34"/>
    <w:rsid w:val="009531AE"/>
    <w:rsid w:val="009577B4"/>
    <w:rsid w:val="0096169A"/>
    <w:rsid w:val="00961836"/>
    <w:rsid w:val="00962989"/>
    <w:rsid w:val="0096325C"/>
    <w:rsid w:val="009655CD"/>
    <w:rsid w:val="0097008A"/>
    <w:rsid w:val="00974408"/>
    <w:rsid w:val="009766FC"/>
    <w:rsid w:val="00983F4F"/>
    <w:rsid w:val="009903BF"/>
    <w:rsid w:val="00990BAD"/>
    <w:rsid w:val="0099245B"/>
    <w:rsid w:val="00993671"/>
    <w:rsid w:val="009936B4"/>
    <w:rsid w:val="00993FCD"/>
    <w:rsid w:val="00997D23"/>
    <w:rsid w:val="009A0263"/>
    <w:rsid w:val="009A388A"/>
    <w:rsid w:val="009B1430"/>
    <w:rsid w:val="009B3A26"/>
    <w:rsid w:val="009B40A9"/>
    <w:rsid w:val="009B56DD"/>
    <w:rsid w:val="009B7F72"/>
    <w:rsid w:val="009C0ED5"/>
    <w:rsid w:val="009C20FD"/>
    <w:rsid w:val="009C31ED"/>
    <w:rsid w:val="009C33B6"/>
    <w:rsid w:val="009C55D8"/>
    <w:rsid w:val="009C6FD7"/>
    <w:rsid w:val="009D0BFD"/>
    <w:rsid w:val="009D23FE"/>
    <w:rsid w:val="009D42C6"/>
    <w:rsid w:val="009D4B72"/>
    <w:rsid w:val="009D74EE"/>
    <w:rsid w:val="009D7641"/>
    <w:rsid w:val="009E1FFC"/>
    <w:rsid w:val="009E31F1"/>
    <w:rsid w:val="009E5D35"/>
    <w:rsid w:val="009E63C4"/>
    <w:rsid w:val="009E7F6D"/>
    <w:rsid w:val="009F0A6E"/>
    <w:rsid w:val="009F3420"/>
    <w:rsid w:val="009F790A"/>
    <w:rsid w:val="00A037E6"/>
    <w:rsid w:val="00A03CF1"/>
    <w:rsid w:val="00A0460C"/>
    <w:rsid w:val="00A04D9D"/>
    <w:rsid w:val="00A14485"/>
    <w:rsid w:val="00A16862"/>
    <w:rsid w:val="00A2122A"/>
    <w:rsid w:val="00A23191"/>
    <w:rsid w:val="00A246FB"/>
    <w:rsid w:val="00A24C8F"/>
    <w:rsid w:val="00A2575F"/>
    <w:rsid w:val="00A277D6"/>
    <w:rsid w:val="00A27C05"/>
    <w:rsid w:val="00A314D9"/>
    <w:rsid w:val="00A319B2"/>
    <w:rsid w:val="00A40688"/>
    <w:rsid w:val="00A4146D"/>
    <w:rsid w:val="00A439F0"/>
    <w:rsid w:val="00A43EB8"/>
    <w:rsid w:val="00A44833"/>
    <w:rsid w:val="00A44F75"/>
    <w:rsid w:val="00A44FF2"/>
    <w:rsid w:val="00A45E78"/>
    <w:rsid w:val="00A47B60"/>
    <w:rsid w:val="00A52DF3"/>
    <w:rsid w:val="00A60290"/>
    <w:rsid w:val="00A60A3F"/>
    <w:rsid w:val="00A60E61"/>
    <w:rsid w:val="00A740F8"/>
    <w:rsid w:val="00A744A8"/>
    <w:rsid w:val="00A74ADC"/>
    <w:rsid w:val="00A777B7"/>
    <w:rsid w:val="00A84386"/>
    <w:rsid w:val="00A8480B"/>
    <w:rsid w:val="00A86E37"/>
    <w:rsid w:val="00A91345"/>
    <w:rsid w:val="00A91B96"/>
    <w:rsid w:val="00A926EC"/>
    <w:rsid w:val="00A943C1"/>
    <w:rsid w:val="00A97019"/>
    <w:rsid w:val="00A97193"/>
    <w:rsid w:val="00AA0259"/>
    <w:rsid w:val="00AA3B54"/>
    <w:rsid w:val="00AA50B1"/>
    <w:rsid w:val="00AA6FEA"/>
    <w:rsid w:val="00AB47B7"/>
    <w:rsid w:val="00AC2749"/>
    <w:rsid w:val="00AC2C02"/>
    <w:rsid w:val="00AC57B5"/>
    <w:rsid w:val="00AD35C5"/>
    <w:rsid w:val="00AD4715"/>
    <w:rsid w:val="00AE019C"/>
    <w:rsid w:val="00AE11B2"/>
    <w:rsid w:val="00AE2FE5"/>
    <w:rsid w:val="00AE70B1"/>
    <w:rsid w:val="00AF387B"/>
    <w:rsid w:val="00AF4269"/>
    <w:rsid w:val="00AF4E46"/>
    <w:rsid w:val="00B05545"/>
    <w:rsid w:val="00B068CE"/>
    <w:rsid w:val="00B12EEB"/>
    <w:rsid w:val="00B1532B"/>
    <w:rsid w:val="00B17C13"/>
    <w:rsid w:val="00B21ED3"/>
    <w:rsid w:val="00B22740"/>
    <w:rsid w:val="00B22ABA"/>
    <w:rsid w:val="00B22C69"/>
    <w:rsid w:val="00B23C54"/>
    <w:rsid w:val="00B23F52"/>
    <w:rsid w:val="00B24656"/>
    <w:rsid w:val="00B2486C"/>
    <w:rsid w:val="00B330A9"/>
    <w:rsid w:val="00B33C6D"/>
    <w:rsid w:val="00B346C7"/>
    <w:rsid w:val="00B40103"/>
    <w:rsid w:val="00B4441E"/>
    <w:rsid w:val="00B45DA0"/>
    <w:rsid w:val="00B51409"/>
    <w:rsid w:val="00B532FA"/>
    <w:rsid w:val="00B63EBC"/>
    <w:rsid w:val="00B65544"/>
    <w:rsid w:val="00B670B2"/>
    <w:rsid w:val="00B733A5"/>
    <w:rsid w:val="00B73D86"/>
    <w:rsid w:val="00B746C1"/>
    <w:rsid w:val="00B74986"/>
    <w:rsid w:val="00B74EC2"/>
    <w:rsid w:val="00B8024E"/>
    <w:rsid w:val="00B85054"/>
    <w:rsid w:val="00B90571"/>
    <w:rsid w:val="00B90E90"/>
    <w:rsid w:val="00B928CD"/>
    <w:rsid w:val="00B953C2"/>
    <w:rsid w:val="00BB532B"/>
    <w:rsid w:val="00BC311D"/>
    <w:rsid w:val="00BC3E26"/>
    <w:rsid w:val="00BC44C1"/>
    <w:rsid w:val="00BC4F24"/>
    <w:rsid w:val="00BC70BB"/>
    <w:rsid w:val="00BC7BFC"/>
    <w:rsid w:val="00BC7E32"/>
    <w:rsid w:val="00BD3846"/>
    <w:rsid w:val="00BE7EA6"/>
    <w:rsid w:val="00BF3B5B"/>
    <w:rsid w:val="00BF5340"/>
    <w:rsid w:val="00BF53D3"/>
    <w:rsid w:val="00BF69D1"/>
    <w:rsid w:val="00BF7795"/>
    <w:rsid w:val="00C02444"/>
    <w:rsid w:val="00C044B5"/>
    <w:rsid w:val="00C04CFA"/>
    <w:rsid w:val="00C06C44"/>
    <w:rsid w:val="00C1225A"/>
    <w:rsid w:val="00C14E78"/>
    <w:rsid w:val="00C212A7"/>
    <w:rsid w:val="00C21DA4"/>
    <w:rsid w:val="00C23ED1"/>
    <w:rsid w:val="00C33C6D"/>
    <w:rsid w:val="00C35DDA"/>
    <w:rsid w:val="00C36EF7"/>
    <w:rsid w:val="00C40118"/>
    <w:rsid w:val="00C42CFF"/>
    <w:rsid w:val="00C552E1"/>
    <w:rsid w:val="00C64E3A"/>
    <w:rsid w:val="00C65CE8"/>
    <w:rsid w:val="00C661B7"/>
    <w:rsid w:val="00C66ACB"/>
    <w:rsid w:val="00C731D3"/>
    <w:rsid w:val="00C8064F"/>
    <w:rsid w:val="00C80EFC"/>
    <w:rsid w:val="00C83934"/>
    <w:rsid w:val="00C85F87"/>
    <w:rsid w:val="00C907D5"/>
    <w:rsid w:val="00C90EB8"/>
    <w:rsid w:val="00C931BB"/>
    <w:rsid w:val="00C93366"/>
    <w:rsid w:val="00C939BA"/>
    <w:rsid w:val="00C9479C"/>
    <w:rsid w:val="00CA069F"/>
    <w:rsid w:val="00CA21B2"/>
    <w:rsid w:val="00CA6EB6"/>
    <w:rsid w:val="00CB14D4"/>
    <w:rsid w:val="00CB22BE"/>
    <w:rsid w:val="00CB68F3"/>
    <w:rsid w:val="00CC1F97"/>
    <w:rsid w:val="00CC33BF"/>
    <w:rsid w:val="00CC6271"/>
    <w:rsid w:val="00CC64F2"/>
    <w:rsid w:val="00CD4142"/>
    <w:rsid w:val="00CD4381"/>
    <w:rsid w:val="00CF3FBB"/>
    <w:rsid w:val="00CF58FF"/>
    <w:rsid w:val="00CF5AEB"/>
    <w:rsid w:val="00CF5DE4"/>
    <w:rsid w:val="00CF643D"/>
    <w:rsid w:val="00D00A29"/>
    <w:rsid w:val="00D06563"/>
    <w:rsid w:val="00D06C9B"/>
    <w:rsid w:val="00D1024B"/>
    <w:rsid w:val="00D12961"/>
    <w:rsid w:val="00D12D46"/>
    <w:rsid w:val="00D206CC"/>
    <w:rsid w:val="00D20C69"/>
    <w:rsid w:val="00D26DEF"/>
    <w:rsid w:val="00D31F98"/>
    <w:rsid w:val="00D34CC6"/>
    <w:rsid w:val="00D364E8"/>
    <w:rsid w:val="00D36642"/>
    <w:rsid w:val="00D40645"/>
    <w:rsid w:val="00D40DC5"/>
    <w:rsid w:val="00D42D0B"/>
    <w:rsid w:val="00D45148"/>
    <w:rsid w:val="00D46408"/>
    <w:rsid w:val="00D4690F"/>
    <w:rsid w:val="00D52656"/>
    <w:rsid w:val="00D539E4"/>
    <w:rsid w:val="00D55277"/>
    <w:rsid w:val="00D56A7D"/>
    <w:rsid w:val="00D601B2"/>
    <w:rsid w:val="00D604A0"/>
    <w:rsid w:val="00D6287E"/>
    <w:rsid w:val="00D63BA4"/>
    <w:rsid w:val="00D666C5"/>
    <w:rsid w:val="00D71432"/>
    <w:rsid w:val="00D72E5C"/>
    <w:rsid w:val="00D730EA"/>
    <w:rsid w:val="00D74774"/>
    <w:rsid w:val="00D749C2"/>
    <w:rsid w:val="00D77A51"/>
    <w:rsid w:val="00D80A5B"/>
    <w:rsid w:val="00D81047"/>
    <w:rsid w:val="00D81936"/>
    <w:rsid w:val="00D8215D"/>
    <w:rsid w:val="00D840E4"/>
    <w:rsid w:val="00D849F3"/>
    <w:rsid w:val="00D85583"/>
    <w:rsid w:val="00D87076"/>
    <w:rsid w:val="00D9568B"/>
    <w:rsid w:val="00DA0EFE"/>
    <w:rsid w:val="00DA1142"/>
    <w:rsid w:val="00DA3B1F"/>
    <w:rsid w:val="00DB4983"/>
    <w:rsid w:val="00DB4AF8"/>
    <w:rsid w:val="00DB7ADA"/>
    <w:rsid w:val="00DC4192"/>
    <w:rsid w:val="00DC47DD"/>
    <w:rsid w:val="00DD1A42"/>
    <w:rsid w:val="00DD5150"/>
    <w:rsid w:val="00DD611C"/>
    <w:rsid w:val="00DE14F5"/>
    <w:rsid w:val="00DE2EA8"/>
    <w:rsid w:val="00DE5FC0"/>
    <w:rsid w:val="00DE6AE4"/>
    <w:rsid w:val="00DE7C80"/>
    <w:rsid w:val="00DF223E"/>
    <w:rsid w:val="00DF606F"/>
    <w:rsid w:val="00DF6CCD"/>
    <w:rsid w:val="00E0036A"/>
    <w:rsid w:val="00E128D9"/>
    <w:rsid w:val="00E138CC"/>
    <w:rsid w:val="00E171D4"/>
    <w:rsid w:val="00E20102"/>
    <w:rsid w:val="00E230EC"/>
    <w:rsid w:val="00E24F35"/>
    <w:rsid w:val="00E34E99"/>
    <w:rsid w:val="00E36763"/>
    <w:rsid w:val="00E40332"/>
    <w:rsid w:val="00E40B2E"/>
    <w:rsid w:val="00E40BEE"/>
    <w:rsid w:val="00E40C79"/>
    <w:rsid w:val="00E42B7C"/>
    <w:rsid w:val="00E53D97"/>
    <w:rsid w:val="00E53F9E"/>
    <w:rsid w:val="00E6009D"/>
    <w:rsid w:val="00E61152"/>
    <w:rsid w:val="00E67066"/>
    <w:rsid w:val="00E700E7"/>
    <w:rsid w:val="00E766DB"/>
    <w:rsid w:val="00E85685"/>
    <w:rsid w:val="00E86723"/>
    <w:rsid w:val="00E86DE6"/>
    <w:rsid w:val="00E8771D"/>
    <w:rsid w:val="00E901E7"/>
    <w:rsid w:val="00E9668E"/>
    <w:rsid w:val="00EA24D1"/>
    <w:rsid w:val="00EA257F"/>
    <w:rsid w:val="00EA2A5D"/>
    <w:rsid w:val="00EA5FD9"/>
    <w:rsid w:val="00EB3020"/>
    <w:rsid w:val="00EB5BC5"/>
    <w:rsid w:val="00EB7539"/>
    <w:rsid w:val="00EB7F4E"/>
    <w:rsid w:val="00EC233C"/>
    <w:rsid w:val="00EC489F"/>
    <w:rsid w:val="00EC4955"/>
    <w:rsid w:val="00EE04B8"/>
    <w:rsid w:val="00EE06AA"/>
    <w:rsid w:val="00EE16EE"/>
    <w:rsid w:val="00EE1E1F"/>
    <w:rsid w:val="00EE4DF5"/>
    <w:rsid w:val="00EE50B3"/>
    <w:rsid w:val="00EE6522"/>
    <w:rsid w:val="00EF466B"/>
    <w:rsid w:val="00EF564D"/>
    <w:rsid w:val="00EF69B4"/>
    <w:rsid w:val="00EF7459"/>
    <w:rsid w:val="00F022E8"/>
    <w:rsid w:val="00F04782"/>
    <w:rsid w:val="00F047A6"/>
    <w:rsid w:val="00F04FEB"/>
    <w:rsid w:val="00F0514E"/>
    <w:rsid w:val="00F122C5"/>
    <w:rsid w:val="00F23223"/>
    <w:rsid w:val="00F2334E"/>
    <w:rsid w:val="00F25BD7"/>
    <w:rsid w:val="00F40661"/>
    <w:rsid w:val="00F40B41"/>
    <w:rsid w:val="00F4535F"/>
    <w:rsid w:val="00F46B60"/>
    <w:rsid w:val="00F612D3"/>
    <w:rsid w:val="00F61F86"/>
    <w:rsid w:val="00F63727"/>
    <w:rsid w:val="00F63FB4"/>
    <w:rsid w:val="00F65ACB"/>
    <w:rsid w:val="00F67276"/>
    <w:rsid w:val="00F713E0"/>
    <w:rsid w:val="00F77EE7"/>
    <w:rsid w:val="00F80F76"/>
    <w:rsid w:val="00F83607"/>
    <w:rsid w:val="00F8793A"/>
    <w:rsid w:val="00F93C3B"/>
    <w:rsid w:val="00F953DC"/>
    <w:rsid w:val="00F9741E"/>
    <w:rsid w:val="00F9785D"/>
    <w:rsid w:val="00F97970"/>
    <w:rsid w:val="00FA32FD"/>
    <w:rsid w:val="00FA3810"/>
    <w:rsid w:val="00FA6F43"/>
    <w:rsid w:val="00FB034B"/>
    <w:rsid w:val="00FB0FD3"/>
    <w:rsid w:val="00FB3021"/>
    <w:rsid w:val="00FB6248"/>
    <w:rsid w:val="00FC0577"/>
    <w:rsid w:val="00FC3131"/>
    <w:rsid w:val="00FC43CD"/>
    <w:rsid w:val="00FD36A2"/>
    <w:rsid w:val="00FD3A0A"/>
    <w:rsid w:val="00FE08FA"/>
    <w:rsid w:val="00FE6434"/>
    <w:rsid w:val="00FF37F1"/>
    <w:rsid w:val="00FF3CBF"/>
    <w:rsid w:val="00FF4069"/>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C27C8"/>
  <w15:docId w15:val="{156B152E-D2D7-4C0C-9644-69CB643A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2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4"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0" w:unhideWhenUsed="1"/>
    <w:lsdException w:name="annotation text" w:semiHidden="1" w:unhideWhenUsed="1"/>
    <w:lsdException w:name="header" w:semiHidden="1" w:uiPriority="30" w:unhideWhenUsed="1" w:qFormat="1"/>
    <w:lsdException w:name="footer" w:semiHidden="1" w:uiPriority="3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0" w:unhideWhenUsed="1"/>
    <w:lsdException w:name="annotation reference" w:semiHidden="1" w:unhideWhenUsed="1"/>
    <w:lsdException w:name="line number" w:semiHidden="1" w:unhideWhenUsed="1"/>
    <w:lsdException w:name="page number" w:semiHidden="1" w:uiPriority="3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0" w:unhideWhenUsed="1"/>
    <w:lsdException w:name="List" w:semiHidden="1" w:uiPriority="6" w:unhideWhenUsed="1"/>
    <w:lsdException w:name="List Bullet" w:semiHidden="1" w:unhideWhenUsed="1"/>
    <w:lsdException w:name="List Number" w:semiHidden="1"/>
    <w:lsdException w:name="List 2" w:semiHidden="1" w:uiPriority="6" w:unhideWhenUsed="1"/>
    <w:lsdException w:name="List 3" w:semiHidden="1" w:uiPriority="6"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B2E"/>
    <w:pPr>
      <w:spacing w:before="100" w:after="100" w:line="276" w:lineRule="auto"/>
      <w:jc w:val="both"/>
    </w:pPr>
    <w:rPr>
      <w:rFonts w:ascii="Calibri" w:hAnsi="Calibri"/>
      <w:sz w:val="22"/>
      <w:szCs w:val="24"/>
      <w:lang w:val="en-GB"/>
    </w:rPr>
  </w:style>
  <w:style w:type="paragraph" w:styleId="Heading1">
    <w:name w:val="heading 1"/>
    <w:next w:val="NormaltextLevel2"/>
    <w:uiPriority w:val="3"/>
    <w:qFormat/>
    <w:rsid w:val="00724BDD"/>
    <w:pPr>
      <w:keepNext/>
      <w:numPr>
        <w:numId w:val="17"/>
      </w:numPr>
      <w:spacing w:before="200" w:after="100" w:line="276" w:lineRule="auto"/>
      <w:outlineLvl w:val="0"/>
    </w:pPr>
    <w:rPr>
      <w:rFonts w:ascii="Calibri" w:hAnsi="Calibri" w:cs="Arial"/>
      <w:b/>
      <w:bCs/>
      <w:caps/>
      <w:kern w:val="32"/>
      <w:sz w:val="22"/>
      <w:szCs w:val="32"/>
      <w:lang w:val="en-GB"/>
    </w:rPr>
  </w:style>
  <w:style w:type="paragraph" w:styleId="Heading2">
    <w:name w:val="heading 2"/>
    <w:basedOn w:val="Heading1"/>
    <w:next w:val="NormaltextLevel2"/>
    <w:uiPriority w:val="3"/>
    <w:qFormat/>
    <w:rsid w:val="00724BDD"/>
    <w:pPr>
      <w:numPr>
        <w:ilvl w:val="1"/>
      </w:numPr>
      <w:outlineLvl w:val="1"/>
    </w:pPr>
    <w:rPr>
      <w:bCs w:val="0"/>
      <w:iCs/>
      <w:caps w:val="0"/>
      <w:szCs w:val="28"/>
    </w:rPr>
  </w:style>
  <w:style w:type="paragraph" w:styleId="Heading3">
    <w:name w:val="heading 3"/>
    <w:basedOn w:val="Heading2"/>
    <w:next w:val="NormaltextLevel2"/>
    <w:uiPriority w:val="3"/>
    <w:qFormat/>
    <w:rsid w:val="00724BDD"/>
    <w:pPr>
      <w:numPr>
        <w:ilvl w:val="2"/>
      </w:numPr>
      <w:outlineLvl w:val="2"/>
    </w:pPr>
    <w:rPr>
      <w:bCs/>
      <w:szCs w:val="26"/>
    </w:rPr>
  </w:style>
  <w:style w:type="paragraph" w:styleId="Heading4">
    <w:name w:val="heading 4"/>
    <w:basedOn w:val="Normal"/>
    <w:next w:val="NormaltextLevel2"/>
    <w:link w:val="Heading4Char"/>
    <w:uiPriority w:val="3"/>
    <w:qFormat/>
    <w:rsid w:val="005A7D92"/>
    <w:pPr>
      <w:keepNext/>
      <w:keepLines/>
      <w:numPr>
        <w:ilvl w:val="3"/>
        <w:numId w:val="17"/>
      </w:numPr>
      <w:spacing w:before="2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4"/>
    <w:semiHidden/>
    <w:unhideWhenUsed/>
    <w:qFormat/>
    <w:rsid w:val="005A7D92"/>
    <w:pPr>
      <w:keepNext/>
      <w:keepLines/>
      <w:numPr>
        <w:ilvl w:val="4"/>
        <w:numId w:val="17"/>
      </w:numPr>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29"/>
    <w:semiHidden/>
    <w:qFormat/>
    <w:rsid w:val="00DA0EFE"/>
    <w:pPr>
      <w:keepNext/>
      <w:keepLines/>
      <w:spacing w:before="200"/>
      <w:outlineLvl w:val="5"/>
    </w:pPr>
    <w:rPr>
      <w:rFonts w:asciiTheme="majorHAnsi" w:eastAsiaTheme="majorEastAsia" w:hAnsiTheme="majorHAnsi" w:cstheme="majorBidi"/>
      <w:i/>
      <w:iCs/>
      <w:color w:val="003246" w:themeColor="accent1" w:themeShade="7F"/>
    </w:rPr>
  </w:style>
  <w:style w:type="paragraph" w:styleId="Heading7">
    <w:name w:val="heading 7"/>
    <w:basedOn w:val="Normal"/>
    <w:next w:val="Normal"/>
    <w:link w:val="Heading7Char"/>
    <w:uiPriority w:val="29"/>
    <w:semiHidden/>
    <w:qFormat/>
    <w:rsid w:val="00DA0E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9"/>
    <w:semiHidden/>
    <w:qFormat/>
    <w:rsid w:val="00DA0EF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29"/>
    <w:semiHidden/>
    <w:qFormat/>
    <w:rsid w:val="00DA0EF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kursiverad">
    <w:name w:val="Normal kursiverad"/>
    <w:basedOn w:val="Normal"/>
    <w:uiPriority w:val="29"/>
    <w:semiHidden/>
    <w:rsid w:val="00DB4983"/>
    <w:rPr>
      <w:i/>
    </w:rPr>
  </w:style>
  <w:style w:type="paragraph" w:styleId="List">
    <w:name w:val="List"/>
    <w:uiPriority w:val="6"/>
    <w:semiHidden/>
    <w:rsid w:val="00D72E5C"/>
    <w:pPr>
      <w:numPr>
        <w:numId w:val="11"/>
      </w:numPr>
      <w:spacing w:after="60"/>
      <w:ind w:left="357" w:hanging="357"/>
    </w:pPr>
    <w:rPr>
      <w:rFonts w:ascii="Arial" w:hAnsi="Arial"/>
      <w:szCs w:val="24"/>
      <w:lang w:val="en-GB"/>
    </w:rPr>
  </w:style>
  <w:style w:type="paragraph" w:styleId="List2">
    <w:name w:val="List 2"/>
    <w:uiPriority w:val="6"/>
    <w:semiHidden/>
    <w:rsid w:val="00D72E5C"/>
    <w:pPr>
      <w:numPr>
        <w:ilvl w:val="1"/>
        <w:numId w:val="11"/>
      </w:numPr>
      <w:spacing w:after="60"/>
    </w:pPr>
    <w:rPr>
      <w:rFonts w:ascii="Arial" w:hAnsi="Arial"/>
      <w:szCs w:val="24"/>
      <w:lang w:val="en-GB"/>
    </w:rPr>
  </w:style>
  <w:style w:type="paragraph" w:styleId="List3">
    <w:name w:val="List 3"/>
    <w:uiPriority w:val="6"/>
    <w:semiHidden/>
    <w:rsid w:val="00D72E5C"/>
    <w:pPr>
      <w:numPr>
        <w:ilvl w:val="2"/>
        <w:numId w:val="11"/>
      </w:numPr>
      <w:spacing w:after="60"/>
      <w:ind w:left="1434" w:hanging="357"/>
    </w:pPr>
    <w:rPr>
      <w:rFonts w:ascii="Arial" w:hAnsi="Arial"/>
      <w:szCs w:val="24"/>
      <w:lang w:val="en-GB"/>
    </w:rPr>
  </w:style>
  <w:style w:type="paragraph" w:customStyle="1" w:styleId="Addressheading">
    <w:name w:val="Addressheading"/>
    <w:uiPriority w:val="29"/>
    <w:semiHidden/>
    <w:rsid w:val="007D4A91"/>
    <w:pPr>
      <w:spacing w:before="60"/>
      <w:jc w:val="right"/>
    </w:pPr>
    <w:rPr>
      <w:rFonts w:ascii="Arial" w:hAnsi="Arial"/>
      <w:color w:val="ABABAB"/>
      <w:sz w:val="14"/>
      <w:szCs w:val="24"/>
      <w:lang w:val="en-GB"/>
    </w:rPr>
  </w:style>
  <w:style w:type="paragraph" w:customStyle="1" w:styleId="Addresstext">
    <w:name w:val="Addresstext"/>
    <w:uiPriority w:val="29"/>
    <w:semiHidden/>
    <w:rsid w:val="003F0C93"/>
    <w:pPr>
      <w:spacing w:line="240" w:lineRule="atLeast"/>
    </w:pPr>
    <w:rPr>
      <w:rFonts w:ascii="Arial" w:hAnsi="Arial"/>
      <w:sz w:val="16"/>
      <w:szCs w:val="24"/>
      <w:lang w:val="en-GB"/>
    </w:rPr>
  </w:style>
  <w:style w:type="paragraph" w:customStyle="1" w:styleId="Information">
    <w:name w:val="Information"/>
    <w:uiPriority w:val="29"/>
    <w:semiHidden/>
    <w:rsid w:val="00D72E5C"/>
    <w:pPr>
      <w:spacing w:line="200" w:lineRule="exact"/>
    </w:pPr>
    <w:rPr>
      <w:rFonts w:ascii="Arial" w:hAnsi="Arial"/>
      <w:color w:val="4C4C4C"/>
      <w:sz w:val="12"/>
      <w:szCs w:val="24"/>
      <w:lang w:val="en-GB"/>
    </w:rPr>
  </w:style>
  <w:style w:type="table" w:styleId="TableGrid">
    <w:name w:val="Table Grid"/>
    <w:basedOn w:val="TableNormal"/>
    <w:rsid w:val="00FD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uiPriority w:val="29"/>
    <w:semiHidden/>
    <w:rsid w:val="008C0A4B"/>
    <w:pPr>
      <w:spacing w:after="120"/>
    </w:pPr>
    <w:rPr>
      <w:rFonts w:ascii="Arial" w:hAnsi="Arial"/>
      <w:b/>
      <w:color w:val="4C4C4C"/>
      <w:sz w:val="16"/>
      <w:szCs w:val="24"/>
      <w:lang w:val="en-GB"/>
    </w:rPr>
  </w:style>
  <w:style w:type="paragraph" w:styleId="Header">
    <w:name w:val="header"/>
    <w:basedOn w:val="Normal"/>
    <w:link w:val="HeaderChar"/>
    <w:uiPriority w:val="30"/>
    <w:qFormat/>
    <w:rsid w:val="00EF466B"/>
    <w:pPr>
      <w:tabs>
        <w:tab w:val="center" w:pos="4536"/>
        <w:tab w:val="right" w:pos="9072"/>
      </w:tabs>
      <w:spacing w:after="0"/>
      <w:ind w:right="-822"/>
      <w:jc w:val="right"/>
    </w:pPr>
    <w:rPr>
      <w:color w:val="ABABAB"/>
      <w:sz w:val="16"/>
    </w:rPr>
  </w:style>
  <w:style w:type="paragraph" w:styleId="Footer">
    <w:name w:val="footer"/>
    <w:basedOn w:val="Normal"/>
    <w:uiPriority w:val="30"/>
    <w:rsid w:val="0017421D"/>
    <w:pPr>
      <w:tabs>
        <w:tab w:val="center" w:pos="4536"/>
        <w:tab w:val="right" w:pos="9072"/>
      </w:tabs>
      <w:jc w:val="center"/>
    </w:pPr>
  </w:style>
  <w:style w:type="table" w:customStyle="1" w:styleId="agendatable">
    <w:name w:val="agendatable"/>
    <w:basedOn w:val="TableNormal"/>
    <w:rsid w:val="00656EA6"/>
    <w:tblPr>
      <w:tblCellMar>
        <w:top w:w="284" w:type="dxa"/>
        <w:bottom w:w="170" w:type="dxa"/>
      </w:tblCellMar>
    </w:tblPr>
    <w:tblStylePr w:type="firstRow">
      <w:tblPr/>
      <w:tcPr>
        <w:tcBorders>
          <w:bottom w:val="single" w:sz="2" w:space="0" w:color="666666"/>
        </w:tcBorders>
        <w:tcMar>
          <w:top w:w="0" w:type="nil"/>
          <w:left w:w="108" w:type="dxa"/>
          <w:bottom w:w="0" w:type="nil"/>
          <w:right w:w="108" w:type="dxa"/>
        </w:tcMar>
      </w:tcPr>
    </w:tblStylePr>
    <w:tblStylePr w:type="lastCol">
      <w:tblPr/>
      <w:tcPr>
        <w:tcBorders>
          <w:top w:val="nil"/>
          <w:left w:val="nil"/>
          <w:bottom w:val="nil"/>
          <w:right w:val="nil"/>
          <w:insideH w:val="single" w:sz="2" w:space="0" w:color="666666"/>
          <w:insideV w:val="nil"/>
          <w:tl2br w:val="nil"/>
          <w:tr2bl w:val="nil"/>
        </w:tcBorders>
      </w:tcPr>
    </w:tblStylePr>
  </w:style>
  <w:style w:type="character" w:styleId="PageNumber">
    <w:name w:val="page number"/>
    <w:basedOn w:val="DefaultParagraphFont"/>
    <w:uiPriority w:val="31"/>
    <w:rsid w:val="004361A4"/>
    <w:rPr>
      <w:color w:val="ABABAB"/>
      <w:sz w:val="14"/>
    </w:rPr>
  </w:style>
  <w:style w:type="paragraph" w:styleId="BalloonText">
    <w:name w:val="Balloon Text"/>
    <w:basedOn w:val="Normal"/>
    <w:link w:val="BalloonTextChar"/>
    <w:uiPriority w:val="29"/>
    <w:semiHidden/>
    <w:rsid w:val="002B6BBF"/>
    <w:rPr>
      <w:rFonts w:ascii="Tahoma" w:hAnsi="Tahoma" w:cs="Tahoma"/>
      <w:sz w:val="16"/>
      <w:szCs w:val="16"/>
    </w:rPr>
  </w:style>
  <w:style w:type="character" w:customStyle="1" w:styleId="BalloonTextChar">
    <w:name w:val="Balloon Text Char"/>
    <w:basedOn w:val="DefaultParagraphFont"/>
    <w:link w:val="BalloonText"/>
    <w:uiPriority w:val="29"/>
    <w:semiHidden/>
    <w:rsid w:val="002623F9"/>
    <w:rPr>
      <w:rFonts w:ascii="Tahoma" w:hAnsi="Tahoma" w:cs="Tahoma"/>
      <w:sz w:val="16"/>
      <w:szCs w:val="16"/>
      <w:lang w:val="en-GB"/>
    </w:rPr>
  </w:style>
  <w:style w:type="character" w:customStyle="1" w:styleId="Security">
    <w:name w:val="Security"/>
    <w:basedOn w:val="DefaultParagraphFont"/>
    <w:uiPriority w:val="29"/>
    <w:semiHidden/>
    <w:rsid w:val="00B670B2"/>
    <w:rPr>
      <w:rFonts w:asciiTheme="minorHAnsi" w:hAnsiTheme="minorHAnsi"/>
      <w:i/>
      <w:color w:val="BFBFBF" w:themeColor="background1" w:themeShade="BF"/>
      <w:sz w:val="16"/>
    </w:rPr>
  </w:style>
  <w:style w:type="table" w:styleId="TableSubtle1">
    <w:name w:val="Table Subtle 1"/>
    <w:basedOn w:val="TableNormal"/>
    <w:semiHidden/>
    <w:rsid w:val="00567D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D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567D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567D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D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D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semiHidden/>
    <w:rsid w:val="00567D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D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D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567D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567D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67D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D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D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D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semiHidden/>
    <w:rsid w:val="00567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567D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D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D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D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D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567D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D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D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D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D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D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D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D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567D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D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D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D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D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D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D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D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1">
    <w:name w:val="Table Web 1"/>
    <w:basedOn w:val="TableNormal"/>
    <w:semiHidden/>
    <w:rsid w:val="00567D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D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D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29"/>
    <w:semiHidden/>
    <w:rsid w:val="00894A86"/>
    <w:rPr>
      <w:color w:val="808080"/>
    </w:rPr>
  </w:style>
  <w:style w:type="paragraph" w:customStyle="1" w:styleId="Subject">
    <w:name w:val="Subject"/>
    <w:basedOn w:val="Addresstext"/>
    <w:uiPriority w:val="29"/>
    <w:rsid w:val="00EE4DF5"/>
    <w:rPr>
      <w:b/>
      <w:sz w:val="20"/>
    </w:rPr>
  </w:style>
  <w:style w:type="paragraph" w:styleId="Bibliography">
    <w:name w:val="Bibliography"/>
    <w:basedOn w:val="Normal"/>
    <w:next w:val="Normal"/>
    <w:uiPriority w:val="29"/>
    <w:semiHidden/>
    <w:rsid w:val="00DA0EFE"/>
  </w:style>
  <w:style w:type="paragraph" w:styleId="BlockText">
    <w:name w:val="Block Text"/>
    <w:basedOn w:val="Normal"/>
    <w:uiPriority w:val="29"/>
    <w:semiHidden/>
    <w:rsid w:val="00DA0EFE"/>
    <w:pPr>
      <w:pBdr>
        <w:top w:val="single" w:sz="2" w:space="10" w:color="00668E" w:themeColor="accent1" w:shadow="1"/>
        <w:left w:val="single" w:sz="2" w:space="10" w:color="00668E" w:themeColor="accent1" w:shadow="1"/>
        <w:bottom w:val="single" w:sz="2" w:space="10" w:color="00668E" w:themeColor="accent1" w:shadow="1"/>
        <w:right w:val="single" w:sz="2" w:space="10" w:color="00668E" w:themeColor="accent1" w:shadow="1"/>
      </w:pBdr>
      <w:ind w:left="1152" w:right="1152"/>
    </w:pPr>
    <w:rPr>
      <w:rFonts w:asciiTheme="minorHAnsi" w:eastAsiaTheme="minorEastAsia" w:hAnsiTheme="minorHAnsi" w:cstheme="minorBidi"/>
      <w:i/>
      <w:iCs/>
      <w:color w:val="00668E" w:themeColor="accent1"/>
    </w:rPr>
  </w:style>
  <w:style w:type="paragraph" w:styleId="BodyText">
    <w:name w:val="Body Text"/>
    <w:basedOn w:val="Normal"/>
    <w:link w:val="BodyTextChar"/>
    <w:uiPriority w:val="29"/>
    <w:semiHidden/>
    <w:rsid w:val="00DA0EFE"/>
    <w:pPr>
      <w:spacing w:after="120"/>
    </w:pPr>
  </w:style>
  <w:style w:type="character" w:customStyle="1" w:styleId="BodyTextChar">
    <w:name w:val="Body Text Char"/>
    <w:basedOn w:val="DefaultParagraphFont"/>
    <w:link w:val="BodyText"/>
    <w:uiPriority w:val="29"/>
    <w:semiHidden/>
    <w:rsid w:val="00DA0EFE"/>
    <w:rPr>
      <w:rFonts w:ascii="Calibri" w:hAnsi="Calibri"/>
      <w:sz w:val="22"/>
      <w:szCs w:val="24"/>
      <w:lang w:val="en-GB"/>
    </w:rPr>
  </w:style>
  <w:style w:type="paragraph" w:styleId="BodyText2">
    <w:name w:val="Body Text 2"/>
    <w:basedOn w:val="Normal"/>
    <w:link w:val="BodyText2Char"/>
    <w:uiPriority w:val="29"/>
    <w:semiHidden/>
    <w:rsid w:val="00DA0EFE"/>
    <w:pPr>
      <w:spacing w:after="120" w:line="480" w:lineRule="auto"/>
    </w:pPr>
  </w:style>
  <w:style w:type="character" w:customStyle="1" w:styleId="BodyText2Char">
    <w:name w:val="Body Text 2 Char"/>
    <w:basedOn w:val="DefaultParagraphFont"/>
    <w:link w:val="BodyText2"/>
    <w:uiPriority w:val="29"/>
    <w:semiHidden/>
    <w:rsid w:val="00DA0EFE"/>
    <w:rPr>
      <w:rFonts w:ascii="Calibri" w:hAnsi="Calibri"/>
      <w:sz w:val="22"/>
      <w:szCs w:val="24"/>
      <w:lang w:val="en-GB"/>
    </w:rPr>
  </w:style>
  <w:style w:type="paragraph" w:styleId="BodyText3">
    <w:name w:val="Body Text 3"/>
    <w:basedOn w:val="Normal"/>
    <w:link w:val="BodyText3Char"/>
    <w:uiPriority w:val="29"/>
    <w:semiHidden/>
    <w:rsid w:val="00DA0EFE"/>
    <w:pPr>
      <w:spacing w:after="120"/>
    </w:pPr>
    <w:rPr>
      <w:sz w:val="16"/>
      <w:szCs w:val="16"/>
    </w:rPr>
  </w:style>
  <w:style w:type="character" w:customStyle="1" w:styleId="BodyText3Char">
    <w:name w:val="Body Text 3 Char"/>
    <w:basedOn w:val="DefaultParagraphFont"/>
    <w:link w:val="BodyText3"/>
    <w:uiPriority w:val="29"/>
    <w:semiHidden/>
    <w:rsid w:val="00DA0EFE"/>
    <w:rPr>
      <w:rFonts w:ascii="Calibri" w:hAnsi="Calibri"/>
      <w:sz w:val="16"/>
      <w:szCs w:val="16"/>
      <w:lang w:val="en-GB"/>
    </w:rPr>
  </w:style>
  <w:style w:type="paragraph" w:styleId="BodyTextFirstIndent">
    <w:name w:val="Body Text First Indent"/>
    <w:basedOn w:val="BodyText"/>
    <w:link w:val="BodyTextFirstIndentChar"/>
    <w:uiPriority w:val="29"/>
    <w:semiHidden/>
    <w:rsid w:val="00DA0EFE"/>
    <w:pPr>
      <w:spacing w:after="0"/>
      <w:ind w:firstLine="360"/>
    </w:pPr>
  </w:style>
  <w:style w:type="character" w:customStyle="1" w:styleId="BodyTextFirstIndentChar">
    <w:name w:val="Body Text First Indent Char"/>
    <w:basedOn w:val="BodyTextChar"/>
    <w:link w:val="BodyTextFirstIndent"/>
    <w:uiPriority w:val="29"/>
    <w:semiHidden/>
    <w:rsid w:val="00DA0EFE"/>
    <w:rPr>
      <w:rFonts w:ascii="Calibri" w:hAnsi="Calibri"/>
      <w:sz w:val="22"/>
      <w:szCs w:val="24"/>
      <w:lang w:val="en-GB"/>
    </w:rPr>
  </w:style>
  <w:style w:type="paragraph" w:styleId="BodyTextIndent">
    <w:name w:val="Body Text Indent"/>
    <w:basedOn w:val="Normal"/>
    <w:link w:val="BodyTextIndentChar"/>
    <w:uiPriority w:val="29"/>
    <w:semiHidden/>
    <w:rsid w:val="00DA0EFE"/>
    <w:pPr>
      <w:spacing w:after="120"/>
      <w:ind w:left="283"/>
    </w:pPr>
  </w:style>
  <w:style w:type="character" w:customStyle="1" w:styleId="BodyTextIndentChar">
    <w:name w:val="Body Text Indent Char"/>
    <w:basedOn w:val="DefaultParagraphFont"/>
    <w:link w:val="BodyTextIndent"/>
    <w:uiPriority w:val="29"/>
    <w:semiHidden/>
    <w:rsid w:val="00DA0EFE"/>
    <w:rPr>
      <w:rFonts w:ascii="Calibri" w:hAnsi="Calibri"/>
      <w:sz w:val="22"/>
      <w:szCs w:val="24"/>
      <w:lang w:val="en-GB"/>
    </w:rPr>
  </w:style>
  <w:style w:type="paragraph" w:styleId="BodyTextFirstIndent2">
    <w:name w:val="Body Text First Indent 2"/>
    <w:basedOn w:val="BodyTextIndent"/>
    <w:link w:val="BodyTextFirstIndent2Char"/>
    <w:uiPriority w:val="29"/>
    <w:semiHidden/>
    <w:rsid w:val="00DA0EFE"/>
    <w:pPr>
      <w:spacing w:after="0"/>
      <w:ind w:left="360" w:firstLine="360"/>
    </w:pPr>
  </w:style>
  <w:style w:type="character" w:customStyle="1" w:styleId="BodyTextFirstIndent2Char">
    <w:name w:val="Body Text First Indent 2 Char"/>
    <w:basedOn w:val="BodyTextIndentChar"/>
    <w:link w:val="BodyTextFirstIndent2"/>
    <w:uiPriority w:val="29"/>
    <w:semiHidden/>
    <w:rsid w:val="00DA0EFE"/>
    <w:rPr>
      <w:rFonts w:ascii="Calibri" w:hAnsi="Calibri"/>
      <w:sz w:val="22"/>
      <w:szCs w:val="24"/>
      <w:lang w:val="en-GB"/>
    </w:rPr>
  </w:style>
  <w:style w:type="paragraph" w:styleId="BodyTextIndent2">
    <w:name w:val="Body Text Indent 2"/>
    <w:basedOn w:val="Normal"/>
    <w:link w:val="BodyTextIndent2Char"/>
    <w:uiPriority w:val="29"/>
    <w:semiHidden/>
    <w:rsid w:val="00DA0EFE"/>
    <w:pPr>
      <w:spacing w:after="120" w:line="480" w:lineRule="auto"/>
      <w:ind w:left="283"/>
    </w:pPr>
  </w:style>
  <w:style w:type="character" w:customStyle="1" w:styleId="BodyTextIndent2Char">
    <w:name w:val="Body Text Indent 2 Char"/>
    <w:basedOn w:val="DefaultParagraphFont"/>
    <w:link w:val="BodyTextIndent2"/>
    <w:uiPriority w:val="29"/>
    <w:semiHidden/>
    <w:rsid w:val="00DA0EFE"/>
    <w:rPr>
      <w:rFonts w:ascii="Calibri" w:hAnsi="Calibri"/>
      <w:sz w:val="22"/>
      <w:szCs w:val="24"/>
      <w:lang w:val="en-GB"/>
    </w:rPr>
  </w:style>
  <w:style w:type="paragraph" w:styleId="BodyTextIndent3">
    <w:name w:val="Body Text Indent 3"/>
    <w:basedOn w:val="Normal"/>
    <w:link w:val="BodyTextIndent3Char"/>
    <w:uiPriority w:val="29"/>
    <w:semiHidden/>
    <w:rsid w:val="00DA0EFE"/>
    <w:pPr>
      <w:spacing w:after="120"/>
      <w:ind w:left="283"/>
    </w:pPr>
    <w:rPr>
      <w:sz w:val="16"/>
      <w:szCs w:val="16"/>
    </w:rPr>
  </w:style>
  <w:style w:type="character" w:customStyle="1" w:styleId="BodyTextIndent3Char">
    <w:name w:val="Body Text Indent 3 Char"/>
    <w:basedOn w:val="DefaultParagraphFont"/>
    <w:link w:val="BodyTextIndent3"/>
    <w:uiPriority w:val="29"/>
    <w:semiHidden/>
    <w:rsid w:val="00DA0EFE"/>
    <w:rPr>
      <w:rFonts w:ascii="Calibri" w:hAnsi="Calibri"/>
      <w:sz w:val="16"/>
      <w:szCs w:val="16"/>
      <w:lang w:val="en-GB"/>
    </w:rPr>
  </w:style>
  <w:style w:type="character" w:styleId="BookTitle">
    <w:name w:val="Book Title"/>
    <w:basedOn w:val="DefaultParagraphFont"/>
    <w:uiPriority w:val="29"/>
    <w:semiHidden/>
    <w:rsid w:val="00DA0EFE"/>
    <w:rPr>
      <w:b/>
      <w:bCs/>
      <w:smallCaps/>
      <w:spacing w:val="5"/>
      <w:lang w:val="en-GB"/>
    </w:rPr>
  </w:style>
  <w:style w:type="paragraph" w:styleId="Caption">
    <w:name w:val="caption"/>
    <w:basedOn w:val="Normal"/>
    <w:next w:val="Normal"/>
    <w:uiPriority w:val="29"/>
    <w:semiHidden/>
    <w:qFormat/>
    <w:rsid w:val="00DA0EFE"/>
    <w:pPr>
      <w:spacing w:after="200"/>
    </w:pPr>
    <w:rPr>
      <w:b/>
      <w:bCs/>
      <w:color w:val="00668E" w:themeColor="accent1"/>
      <w:sz w:val="18"/>
      <w:szCs w:val="18"/>
    </w:rPr>
  </w:style>
  <w:style w:type="paragraph" w:styleId="Closing">
    <w:name w:val="Closing"/>
    <w:basedOn w:val="Normal"/>
    <w:link w:val="ClosingChar"/>
    <w:uiPriority w:val="29"/>
    <w:semiHidden/>
    <w:rsid w:val="00DA0EFE"/>
    <w:pPr>
      <w:ind w:left="4252"/>
    </w:pPr>
  </w:style>
  <w:style w:type="character" w:customStyle="1" w:styleId="ClosingChar">
    <w:name w:val="Closing Char"/>
    <w:basedOn w:val="DefaultParagraphFont"/>
    <w:link w:val="Closing"/>
    <w:uiPriority w:val="29"/>
    <w:semiHidden/>
    <w:rsid w:val="00DA0EFE"/>
    <w:rPr>
      <w:rFonts w:ascii="Calibri" w:hAnsi="Calibri"/>
      <w:sz w:val="22"/>
      <w:szCs w:val="24"/>
      <w:lang w:val="en-GB"/>
    </w:rPr>
  </w:style>
  <w:style w:type="table" w:customStyle="1" w:styleId="ColorfulGrid1">
    <w:name w:val="Colorful Grid1"/>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B5EAFF" w:themeFill="accent1" w:themeFillTint="33"/>
    </w:tcPr>
    <w:tblStylePr w:type="firstRow">
      <w:rPr>
        <w:b/>
        <w:bCs/>
      </w:rPr>
      <w:tblPr/>
      <w:tcPr>
        <w:shd w:val="clear" w:color="auto" w:fill="6BD5FF" w:themeFill="accent1" w:themeFillTint="66"/>
      </w:tcPr>
    </w:tblStylePr>
    <w:tblStylePr w:type="lastRow">
      <w:rPr>
        <w:b/>
        <w:bCs/>
        <w:color w:val="000000" w:themeColor="text1"/>
      </w:rPr>
      <w:tblPr/>
      <w:tcPr>
        <w:shd w:val="clear" w:color="auto" w:fill="6BD5FF" w:themeFill="accent1" w:themeFillTint="66"/>
      </w:tcPr>
    </w:tblStylePr>
    <w:tblStylePr w:type="firstCol">
      <w:rPr>
        <w:color w:val="FFFFFF" w:themeColor="background1"/>
      </w:rPr>
      <w:tblPr/>
      <w:tcPr>
        <w:shd w:val="clear" w:color="auto" w:fill="004C6A" w:themeFill="accent1" w:themeFillShade="BF"/>
      </w:tcPr>
    </w:tblStylePr>
    <w:tblStylePr w:type="lastCol">
      <w:rPr>
        <w:color w:val="FFFFFF" w:themeColor="background1"/>
      </w:rPr>
      <w:tblPr/>
      <w:tcPr>
        <w:shd w:val="clear" w:color="auto" w:fill="004C6A" w:themeFill="accent1" w:themeFillShade="BF"/>
      </w:tcPr>
    </w:tblStylePr>
    <w:tblStylePr w:type="band1Vert">
      <w:tblPr/>
      <w:tcPr>
        <w:shd w:val="clear" w:color="auto" w:fill="47CBFF" w:themeFill="accent1" w:themeFillTint="7F"/>
      </w:tcPr>
    </w:tblStylePr>
    <w:tblStylePr w:type="band1Horz">
      <w:tblPr/>
      <w:tcPr>
        <w:shd w:val="clear" w:color="auto" w:fill="47CBFF" w:themeFill="accent1" w:themeFillTint="7F"/>
      </w:tcPr>
    </w:tblStylePr>
  </w:style>
  <w:style w:type="table" w:styleId="ColorfulGrid-Accent2">
    <w:name w:val="Colorful Grid Accent 2"/>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E1EDF2" w:themeFill="accent2" w:themeFillTint="33"/>
    </w:tcPr>
    <w:tblStylePr w:type="firstRow">
      <w:rPr>
        <w:b/>
        <w:bCs/>
      </w:rPr>
      <w:tblPr/>
      <w:tcPr>
        <w:shd w:val="clear" w:color="auto" w:fill="C4DCE5" w:themeFill="accent2" w:themeFillTint="66"/>
      </w:tcPr>
    </w:tblStylePr>
    <w:tblStylePr w:type="lastRow">
      <w:rPr>
        <w:b/>
        <w:bCs/>
        <w:color w:val="000000" w:themeColor="text1"/>
      </w:rPr>
      <w:tblPr/>
      <w:tcPr>
        <w:shd w:val="clear" w:color="auto" w:fill="C4DCE5" w:themeFill="accent2" w:themeFillTint="66"/>
      </w:tcPr>
    </w:tblStylePr>
    <w:tblStylePr w:type="firstCol">
      <w:rPr>
        <w:color w:val="FFFFFF" w:themeColor="background1"/>
      </w:rPr>
      <w:tblPr/>
      <w:tcPr>
        <w:shd w:val="clear" w:color="auto" w:fill="45849C" w:themeFill="accent2" w:themeFillShade="BF"/>
      </w:tcPr>
    </w:tblStylePr>
    <w:tblStylePr w:type="lastCol">
      <w:rPr>
        <w:color w:val="FFFFFF" w:themeColor="background1"/>
      </w:rPr>
      <w:tblPr/>
      <w:tcPr>
        <w:shd w:val="clear" w:color="auto" w:fill="45849C" w:themeFill="accent2" w:themeFillShade="BF"/>
      </w:tcPr>
    </w:tblStylePr>
    <w:tblStylePr w:type="band1Vert">
      <w:tblPr/>
      <w:tcPr>
        <w:shd w:val="clear" w:color="auto" w:fill="B6D4DF" w:themeFill="accent2" w:themeFillTint="7F"/>
      </w:tcPr>
    </w:tblStylePr>
    <w:tblStylePr w:type="band1Horz">
      <w:tblPr/>
      <w:tcPr>
        <w:shd w:val="clear" w:color="auto" w:fill="B6D4DF" w:themeFill="accent2" w:themeFillTint="7F"/>
      </w:tcPr>
    </w:tblStylePr>
  </w:style>
  <w:style w:type="table" w:styleId="ColorfulGrid-Accent3">
    <w:name w:val="Colorful Grid Accent 3"/>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F3F7FA" w:themeFill="accent3" w:themeFillTint="33"/>
    </w:tcPr>
    <w:tblStylePr w:type="firstRow">
      <w:rPr>
        <w:b/>
        <w:bCs/>
      </w:rPr>
      <w:tblPr/>
      <w:tcPr>
        <w:shd w:val="clear" w:color="auto" w:fill="E7F0F5" w:themeFill="accent3" w:themeFillTint="66"/>
      </w:tcPr>
    </w:tblStylePr>
    <w:tblStylePr w:type="lastRow">
      <w:rPr>
        <w:b/>
        <w:bCs/>
        <w:color w:val="000000" w:themeColor="text1"/>
      </w:rPr>
      <w:tblPr/>
      <w:tcPr>
        <w:shd w:val="clear" w:color="auto" w:fill="E7F0F5" w:themeFill="accent3" w:themeFillTint="66"/>
      </w:tcPr>
    </w:tblStylePr>
    <w:tblStylePr w:type="firstCol">
      <w:rPr>
        <w:color w:val="FFFFFF" w:themeColor="background1"/>
      </w:rPr>
      <w:tblPr/>
      <w:tcPr>
        <w:shd w:val="clear" w:color="auto" w:fill="78ADC7" w:themeFill="accent3" w:themeFillShade="BF"/>
      </w:tcPr>
    </w:tblStylePr>
    <w:tblStylePr w:type="lastCol">
      <w:rPr>
        <w:color w:val="FFFFFF" w:themeColor="background1"/>
      </w:rPr>
      <w:tblPr/>
      <w:tcPr>
        <w:shd w:val="clear" w:color="auto" w:fill="78ADC7" w:themeFill="accent3" w:themeFillShade="BF"/>
      </w:tcPr>
    </w:tblStylePr>
    <w:tblStylePr w:type="band1Vert">
      <w:tblPr/>
      <w:tcPr>
        <w:shd w:val="clear" w:color="auto" w:fill="E2EDF3" w:themeFill="accent3" w:themeFillTint="7F"/>
      </w:tcPr>
    </w:tblStylePr>
    <w:tblStylePr w:type="band1Horz">
      <w:tblPr/>
      <w:tcPr>
        <w:shd w:val="clear" w:color="auto" w:fill="E2EDF3" w:themeFill="accent3" w:themeFillTint="7F"/>
      </w:tcPr>
    </w:tblStylePr>
  </w:style>
  <w:style w:type="table" w:styleId="ColorfulGrid-Accent4">
    <w:name w:val="Colorful Grid Accent 4"/>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E7E9EB" w:themeFill="accent4" w:themeFillTint="33"/>
    </w:tcPr>
    <w:tblStylePr w:type="firstRow">
      <w:rPr>
        <w:b/>
        <w:bCs/>
      </w:rPr>
      <w:tblPr/>
      <w:tcPr>
        <w:shd w:val="clear" w:color="auto" w:fill="D0D4D8" w:themeFill="accent4" w:themeFillTint="66"/>
      </w:tcPr>
    </w:tblStylePr>
    <w:tblStylePr w:type="lastRow">
      <w:rPr>
        <w:b/>
        <w:bCs/>
        <w:color w:val="000000" w:themeColor="text1"/>
      </w:rPr>
      <w:tblPr/>
      <w:tcPr>
        <w:shd w:val="clear" w:color="auto" w:fill="D0D4D8" w:themeFill="accent4" w:themeFillTint="66"/>
      </w:tcPr>
    </w:tblStylePr>
    <w:tblStylePr w:type="firstCol">
      <w:rPr>
        <w:color w:val="FFFFFF" w:themeColor="background1"/>
      </w:rPr>
      <w:tblPr/>
      <w:tcPr>
        <w:shd w:val="clear" w:color="auto" w:fill="666E78" w:themeFill="accent4" w:themeFillShade="BF"/>
      </w:tcPr>
    </w:tblStylePr>
    <w:tblStylePr w:type="lastCol">
      <w:rPr>
        <w:color w:val="FFFFFF" w:themeColor="background1"/>
      </w:rPr>
      <w:tblPr/>
      <w:tcPr>
        <w:shd w:val="clear" w:color="auto" w:fill="666E78" w:themeFill="accent4" w:themeFillShade="BF"/>
      </w:tcPr>
    </w:tblStylePr>
    <w:tblStylePr w:type="band1Vert">
      <w:tblPr/>
      <w:tcPr>
        <w:shd w:val="clear" w:color="auto" w:fill="C5C9CE" w:themeFill="accent4" w:themeFillTint="7F"/>
      </w:tcPr>
    </w:tblStylePr>
    <w:tblStylePr w:type="band1Horz">
      <w:tblPr/>
      <w:tcPr>
        <w:shd w:val="clear" w:color="auto" w:fill="C5C9CE" w:themeFill="accent4" w:themeFillTint="7F"/>
      </w:tcPr>
    </w:tblStylePr>
  </w:style>
  <w:style w:type="table" w:styleId="ColorfulGrid-Accent5">
    <w:name w:val="Colorful Grid Accent 5"/>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F8D0CC" w:themeFill="accent5" w:themeFillTint="33"/>
    </w:tcPr>
    <w:tblStylePr w:type="firstRow">
      <w:rPr>
        <w:b/>
        <w:bCs/>
      </w:rPr>
      <w:tblPr/>
      <w:tcPr>
        <w:shd w:val="clear" w:color="auto" w:fill="F1A199" w:themeFill="accent5" w:themeFillTint="66"/>
      </w:tcPr>
    </w:tblStylePr>
    <w:tblStylePr w:type="lastRow">
      <w:rPr>
        <w:b/>
        <w:bCs/>
        <w:color w:val="000000" w:themeColor="text1"/>
      </w:rPr>
      <w:tblPr/>
      <w:tcPr>
        <w:shd w:val="clear" w:color="auto" w:fill="F1A199" w:themeFill="accent5" w:themeFillTint="66"/>
      </w:tcPr>
    </w:tblStylePr>
    <w:tblStylePr w:type="firstCol">
      <w:rPr>
        <w:color w:val="FFFFFF" w:themeColor="background1"/>
      </w:rPr>
      <w:tblPr/>
      <w:tcPr>
        <w:shd w:val="clear" w:color="auto" w:fill="932013" w:themeFill="accent5" w:themeFillShade="BF"/>
      </w:tcPr>
    </w:tblStylePr>
    <w:tblStylePr w:type="lastCol">
      <w:rPr>
        <w:color w:val="FFFFFF" w:themeColor="background1"/>
      </w:rPr>
      <w:tblPr/>
      <w:tcPr>
        <w:shd w:val="clear" w:color="auto" w:fill="932013" w:themeFill="accent5" w:themeFillShade="BF"/>
      </w:tcPr>
    </w:tblStylePr>
    <w:tblStylePr w:type="band1Vert">
      <w:tblPr/>
      <w:tcPr>
        <w:shd w:val="clear" w:color="auto" w:fill="EE8B80" w:themeFill="accent5" w:themeFillTint="7F"/>
      </w:tcPr>
    </w:tblStylePr>
    <w:tblStylePr w:type="band1Horz">
      <w:tblPr/>
      <w:tcPr>
        <w:shd w:val="clear" w:color="auto" w:fill="EE8B80" w:themeFill="accent5" w:themeFillTint="7F"/>
      </w:tcPr>
    </w:tblStylePr>
  </w:style>
  <w:style w:type="table" w:styleId="ColorfulGrid-Accent6">
    <w:name w:val="Colorful Grid Accent 6"/>
    <w:basedOn w:val="TableNormal"/>
    <w:uiPriority w:val="73"/>
    <w:rsid w:val="00DA0EFE"/>
    <w:rPr>
      <w:color w:val="000000" w:themeColor="text1"/>
    </w:rPr>
    <w:tblPr>
      <w:tblStyleRowBandSize w:val="1"/>
      <w:tblStyleColBandSize w:val="1"/>
      <w:tblBorders>
        <w:insideH w:val="single" w:sz="4" w:space="0" w:color="FFFFFF" w:themeColor="background1"/>
      </w:tblBorders>
    </w:tblPr>
    <w:tcPr>
      <w:shd w:val="clear" w:color="auto" w:fill="FCC9DA" w:themeFill="accent6" w:themeFillTint="33"/>
    </w:tcPr>
    <w:tblStylePr w:type="firstRow">
      <w:rPr>
        <w:b/>
        <w:bCs/>
      </w:rPr>
      <w:tblPr/>
      <w:tcPr>
        <w:shd w:val="clear" w:color="auto" w:fill="F994B6" w:themeFill="accent6" w:themeFillTint="66"/>
      </w:tcPr>
    </w:tblStylePr>
    <w:tblStylePr w:type="lastRow">
      <w:rPr>
        <w:b/>
        <w:bCs/>
        <w:color w:val="000000" w:themeColor="text1"/>
      </w:rPr>
      <w:tblPr/>
      <w:tcPr>
        <w:shd w:val="clear" w:color="auto" w:fill="F994B6" w:themeFill="accent6" w:themeFillTint="66"/>
      </w:tcPr>
    </w:tblStylePr>
    <w:tblStylePr w:type="firstCol">
      <w:rPr>
        <w:color w:val="FFFFFF" w:themeColor="background1"/>
      </w:rPr>
      <w:tblPr/>
      <w:tcPr>
        <w:shd w:val="clear" w:color="auto" w:fill="A3083C" w:themeFill="accent6" w:themeFillShade="BF"/>
      </w:tcPr>
    </w:tblStylePr>
    <w:tblStylePr w:type="lastCol">
      <w:rPr>
        <w:color w:val="FFFFFF" w:themeColor="background1"/>
      </w:rPr>
      <w:tblPr/>
      <w:tcPr>
        <w:shd w:val="clear" w:color="auto" w:fill="A3083C" w:themeFill="accent6" w:themeFillShade="BF"/>
      </w:tcPr>
    </w:tblStylePr>
    <w:tblStylePr w:type="band1Vert">
      <w:tblPr/>
      <w:tcPr>
        <w:shd w:val="clear" w:color="auto" w:fill="F87AA4" w:themeFill="accent6" w:themeFillTint="7F"/>
      </w:tcPr>
    </w:tblStylePr>
    <w:tblStylePr w:type="band1Horz">
      <w:tblPr/>
      <w:tcPr>
        <w:shd w:val="clear" w:color="auto" w:fill="F87AA4" w:themeFill="accent6" w:themeFillTint="7F"/>
      </w:tcPr>
    </w:tblStylePr>
  </w:style>
  <w:style w:type="table" w:customStyle="1" w:styleId="ColorfulList1">
    <w:name w:val="Colorful List1"/>
    <w:basedOn w:val="TableNormal"/>
    <w:uiPriority w:val="72"/>
    <w:rsid w:val="00DA0EF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A0EFE"/>
    <w:rPr>
      <w:color w:val="000000" w:themeColor="text1"/>
    </w:rPr>
    <w:tblPr>
      <w:tblStyleRowBandSize w:val="1"/>
      <w:tblStyleColBandSize w:val="1"/>
    </w:tblPr>
    <w:tcPr>
      <w:shd w:val="clear" w:color="auto" w:fill="DAF4FF" w:themeFill="accent1"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5FF" w:themeFill="accent1" w:themeFillTint="3F"/>
      </w:tcPr>
    </w:tblStylePr>
    <w:tblStylePr w:type="band1Horz">
      <w:tblPr/>
      <w:tcPr>
        <w:shd w:val="clear" w:color="auto" w:fill="B5EAFF" w:themeFill="accent1" w:themeFillTint="33"/>
      </w:tcPr>
    </w:tblStylePr>
  </w:style>
  <w:style w:type="table" w:styleId="ColorfulList-Accent2">
    <w:name w:val="Colorful List Accent 2"/>
    <w:basedOn w:val="TableNormal"/>
    <w:uiPriority w:val="72"/>
    <w:rsid w:val="00DA0EFE"/>
    <w:rPr>
      <w:color w:val="000000" w:themeColor="text1"/>
    </w:rPr>
    <w:tblPr>
      <w:tblStyleRowBandSize w:val="1"/>
      <w:tblStyleColBandSize w:val="1"/>
    </w:tblPr>
    <w:tcPr>
      <w:shd w:val="clear" w:color="auto" w:fill="F0F6F8" w:themeFill="accent2"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9EF" w:themeFill="accent2" w:themeFillTint="3F"/>
      </w:tcPr>
    </w:tblStylePr>
    <w:tblStylePr w:type="band1Horz">
      <w:tblPr/>
      <w:tcPr>
        <w:shd w:val="clear" w:color="auto" w:fill="E1EDF2" w:themeFill="accent2" w:themeFillTint="33"/>
      </w:tcPr>
    </w:tblStylePr>
  </w:style>
  <w:style w:type="table" w:styleId="ColorfulList-Accent3">
    <w:name w:val="Colorful List Accent 3"/>
    <w:basedOn w:val="TableNormal"/>
    <w:uiPriority w:val="72"/>
    <w:rsid w:val="00DA0EFE"/>
    <w:rPr>
      <w:color w:val="000000" w:themeColor="text1"/>
    </w:rPr>
    <w:tblPr>
      <w:tblStyleRowBandSize w:val="1"/>
      <w:tblStyleColBandSize w:val="1"/>
    </w:tblPr>
    <w:tcPr>
      <w:shd w:val="clear" w:color="auto" w:fill="F9FBFC" w:themeFill="accent3" w:themeFillTint="19"/>
    </w:tcPr>
    <w:tblStylePr w:type="firstRow">
      <w:rPr>
        <w:b/>
        <w:bCs/>
        <w:color w:val="FFFFFF" w:themeColor="background1"/>
      </w:rPr>
      <w:tblPr/>
      <w:tcPr>
        <w:tcBorders>
          <w:bottom w:val="single" w:sz="12" w:space="0" w:color="FFFFFF" w:themeColor="background1"/>
        </w:tcBorders>
        <w:shd w:val="clear" w:color="auto" w:fill="6D7681" w:themeFill="accent4" w:themeFillShade="CC"/>
      </w:tcPr>
    </w:tblStylePr>
    <w:tblStylePr w:type="lastRow">
      <w:rPr>
        <w:b/>
        <w:bCs/>
        <w:color w:val="6D76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6F9" w:themeFill="accent3" w:themeFillTint="3F"/>
      </w:tcPr>
    </w:tblStylePr>
    <w:tblStylePr w:type="band1Horz">
      <w:tblPr/>
      <w:tcPr>
        <w:shd w:val="clear" w:color="auto" w:fill="F3F7FA" w:themeFill="accent3" w:themeFillTint="33"/>
      </w:tcPr>
    </w:tblStylePr>
  </w:style>
  <w:style w:type="table" w:styleId="ColorfulList-Accent4">
    <w:name w:val="Colorful List Accent 4"/>
    <w:basedOn w:val="TableNormal"/>
    <w:uiPriority w:val="72"/>
    <w:rsid w:val="00DA0EFE"/>
    <w:rPr>
      <w:color w:val="000000" w:themeColor="text1"/>
    </w:rPr>
    <w:tblPr>
      <w:tblStyleRowBandSize w:val="1"/>
      <w:tblStyleColBandSize w:val="1"/>
    </w:tblPr>
    <w:tcPr>
      <w:shd w:val="clear" w:color="auto" w:fill="F3F4F5" w:themeFill="accent4" w:themeFillTint="19"/>
    </w:tcPr>
    <w:tblStylePr w:type="firstRow">
      <w:rPr>
        <w:b/>
        <w:bCs/>
        <w:color w:val="FFFFFF" w:themeColor="background1"/>
      </w:rPr>
      <w:tblPr/>
      <w:tcPr>
        <w:tcBorders>
          <w:bottom w:val="single" w:sz="12" w:space="0" w:color="FFFFFF" w:themeColor="background1"/>
        </w:tcBorders>
        <w:shd w:val="clear" w:color="auto" w:fill="88B7CE" w:themeFill="accent3" w:themeFillShade="CC"/>
      </w:tcPr>
    </w:tblStylePr>
    <w:tblStylePr w:type="lastRow">
      <w:rPr>
        <w:b/>
        <w:bCs/>
        <w:color w:val="88B7C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4E7" w:themeFill="accent4" w:themeFillTint="3F"/>
      </w:tcPr>
    </w:tblStylePr>
    <w:tblStylePr w:type="band1Horz">
      <w:tblPr/>
      <w:tcPr>
        <w:shd w:val="clear" w:color="auto" w:fill="E7E9EB" w:themeFill="accent4" w:themeFillTint="33"/>
      </w:tcPr>
    </w:tblStylePr>
  </w:style>
  <w:style w:type="table" w:styleId="ColorfulList-Accent5">
    <w:name w:val="Colorful List Accent 5"/>
    <w:basedOn w:val="TableNormal"/>
    <w:uiPriority w:val="72"/>
    <w:rsid w:val="00DA0EFE"/>
    <w:rPr>
      <w:color w:val="000000" w:themeColor="text1"/>
    </w:rPr>
    <w:tblPr>
      <w:tblStyleRowBandSize w:val="1"/>
      <w:tblStyleColBandSize w:val="1"/>
    </w:tblPr>
    <w:tcPr>
      <w:shd w:val="clear" w:color="auto" w:fill="FBE7E5" w:themeFill="accent5" w:themeFillTint="19"/>
    </w:tcPr>
    <w:tblStylePr w:type="firstRow">
      <w:rPr>
        <w:b/>
        <w:bCs/>
        <w:color w:val="FFFFFF" w:themeColor="background1"/>
      </w:rPr>
      <w:tblPr/>
      <w:tcPr>
        <w:tcBorders>
          <w:bottom w:val="single" w:sz="12" w:space="0" w:color="FFFFFF" w:themeColor="background1"/>
        </w:tcBorders>
        <w:shd w:val="clear" w:color="auto" w:fill="AF0940" w:themeFill="accent6" w:themeFillShade="CC"/>
      </w:tcPr>
    </w:tblStylePr>
    <w:tblStylePr w:type="lastRow">
      <w:rPr>
        <w:b/>
        <w:bCs/>
        <w:color w:val="AF094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5C0" w:themeFill="accent5" w:themeFillTint="3F"/>
      </w:tcPr>
    </w:tblStylePr>
    <w:tblStylePr w:type="band1Horz">
      <w:tblPr/>
      <w:tcPr>
        <w:shd w:val="clear" w:color="auto" w:fill="F8D0CC" w:themeFill="accent5" w:themeFillTint="33"/>
      </w:tcPr>
    </w:tblStylePr>
  </w:style>
  <w:style w:type="table" w:styleId="ColorfulList-Accent6">
    <w:name w:val="Colorful List Accent 6"/>
    <w:basedOn w:val="TableNormal"/>
    <w:uiPriority w:val="72"/>
    <w:rsid w:val="00DA0EFE"/>
    <w:rPr>
      <w:color w:val="000000" w:themeColor="text1"/>
    </w:rPr>
    <w:tblPr>
      <w:tblStyleRowBandSize w:val="1"/>
      <w:tblStyleColBandSize w:val="1"/>
    </w:tblPr>
    <w:tcPr>
      <w:shd w:val="clear" w:color="auto" w:fill="FDE4EC" w:themeFill="accent6" w:themeFillTint="19"/>
    </w:tcPr>
    <w:tblStylePr w:type="firstRow">
      <w:rPr>
        <w:b/>
        <w:bCs/>
        <w:color w:val="FFFFFF" w:themeColor="background1"/>
      </w:rPr>
      <w:tblPr/>
      <w:tcPr>
        <w:tcBorders>
          <w:bottom w:val="single" w:sz="12" w:space="0" w:color="FFFFFF" w:themeColor="background1"/>
        </w:tcBorders>
        <w:shd w:val="clear" w:color="auto" w:fill="9D2214" w:themeFill="accent5" w:themeFillShade="CC"/>
      </w:tcPr>
    </w:tblStylePr>
    <w:tblStylePr w:type="lastRow">
      <w:rPr>
        <w:b/>
        <w:bCs/>
        <w:color w:val="9D22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1" w:themeFill="accent6" w:themeFillTint="3F"/>
      </w:tcPr>
    </w:tblStylePr>
    <w:tblStylePr w:type="band1Horz">
      <w:tblPr/>
      <w:tcPr>
        <w:shd w:val="clear" w:color="auto" w:fill="FCC9DA" w:themeFill="accent6" w:themeFillTint="33"/>
      </w:tcPr>
    </w:tblStylePr>
  </w:style>
  <w:style w:type="table" w:customStyle="1" w:styleId="ColorfulShading1">
    <w:name w:val="Colorful Shading1"/>
    <w:basedOn w:val="TableNormal"/>
    <w:uiPriority w:val="71"/>
    <w:rsid w:val="00DA0EFE"/>
    <w:rPr>
      <w:color w:val="000000" w:themeColor="text1"/>
    </w:rPr>
    <w:tblPr>
      <w:tblStyleRowBandSize w:val="1"/>
      <w:tblStyleColBandSize w:val="1"/>
      <w:tblBorders>
        <w:top w:val="single" w:sz="24" w:space="0" w:color="6EA9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A0EFE"/>
    <w:rPr>
      <w:color w:val="000000" w:themeColor="text1"/>
    </w:rPr>
    <w:tblPr>
      <w:tblStyleRowBandSize w:val="1"/>
      <w:tblStyleColBandSize w:val="1"/>
      <w:tblBorders>
        <w:top w:val="single" w:sz="24" w:space="0" w:color="6EA9BF" w:themeColor="accent2"/>
        <w:left w:val="single" w:sz="4" w:space="0" w:color="00668E" w:themeColor="accent1"/>
        <w:bottom w:val="single" w:sz="4" w:space="0" w:color="00668E" w:themeColor="accent1"/>
        <w:right w:val="single" w:sz="4" w:space="0" w:color="00668E" w:themeColor="accent1"/>
        <w:insideH w:val="single" w:sz="4" w:space="0" w:color="FFFFFF" w:themeColor="background1"/>
        <w:insideV w:val="single" w:sz="4" w:space="0" w:color="FFFFFF" w:themeColor="background1"/>
      </w:tblBorders>
    </w:tblPr>
    <w:tcPr>
      <w:shd w:val="clear" w:color="auto" w:fill="DAF4FF" w:themeFill="accent1"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55" w:themeFill="accent1" w:themeFillShade="99"/>
      </w:tcPr>
    </w:tblStylePr>
    <w:tblStylePr w:type="firstCol">
      <w:rPr>
        <w:color w:val="FFFFFF" w:themeColor="background1"/>
      </w:rPr>
      <w:tblPr/>
      <w:tcPr>
        <w:tcBorders>
          <w:top w:val="nil"/>
          <w:left w:val="nil"/>
          <w:bottom w:val="nil"/>
          <w:right w:val="nil"/>
          <w:insideH w:val="single" w:sz="4" w:space="0" w:color="003D55" w:themeColor="accent1" w:themeShade="99"/>
          <w:insideV w:val="nil"/>
        </w:tcBorders>
        <w:shd w:val="clear" w:color="auto" w:fill="003D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D55" w:themeFill="accent1" w:themeFillShade="99"/>
      </w:tcPr>
    </w:tblStylePr>
    <w:tblStylePr w:type="band1Vert">
      <w:tblPr/>
      <w:tcPr>
        <w:shd w:val="clear" w:color="auto" w:fill="6BD5FF" w:themeFill="accent1" w:themeFillTint="66"/>
      </w:tcPr>
    </w:tblStylePr>
    <w:tblStylePr w:type="band1Horz">
      <w:tblPr/>
      <w:tcPr>
        <w:shd w:val="clear" w:color="auto" w:fill="47CB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A0EFE"/>
    <w:rPr>
      <w:color w:val="000000" w:themeColor="text1"/>
    </w:rPr>
    <w:tblPr>
      <w:tblStyleRowBandSize w:val="1"/>
      <w:tblStyleColBandSize w:val="1"/>
      <w:tblBorders>
        <w:top w:val="single" w:sz="24" w:space="0" w:color="6EA9BF" w:themeColor="accent2"/>
        <w:left w:val="single" w:sz="4" w:space="0" w:color="6EA9BF" w:themeColor="accent2"/>
        <w:bottom w:val="single" w:sz="4" w:space="0" w:color="6EA9BF" w:themeColor="accent2"/>
        <w:right w:val="single" w:sz="4" w:space="0" w:color="6EA9BF" w:themeColor="accent2"/>
        <w:insideH w:val="single" w:sz="4" w:space="0" w:color="FFFFFF" w:themeColor="background1"/>
        <w:insideV w:val="single" w:sz="4" w:space="0" w:color="FFFFFF" w:themeColor="background1"/>
      </w:tblBorders>
    </w:tblPr>
    <w:tcPr>
      <w:shd w:val="clear" w:color="auto" w:fill="F0F6F8" w:themeFill="accent2"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97D" w:themeFill="accent2" w:themeFillShade="99"/>
      </w:tcPr>
    </w:tblStylePr>
    <w:tblStylePr w:type="firstCol">
      <w:rPr>
        <w:color w:val="FFFFFF" w:themeColor="background1"/>
      </w:rPr>
      <w:tblPr/>
      <w:tcPr>
        <w:tcBorders>
          <w:top w:val="nil"/>
          <w:left w:val="nil"/>
          <w:bottom w:val="nil"/>
          <w:right w:val="nil"/>
          <w:insideH w:val="single" w:sz="4" w:space="0" w:color="37697D" w:themeColor="accent2" w:themeShade="99"/>
          <w:insideV w:val="nil"/>
        </w:tcBorders>
        <w:shd w:val="clear" w:color="auto" w:fill="37697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97D" w:themeFill="accent2" w:themeFillShade="99"/>
      </w:tcPr>
    </w:tblStylePr>
    <w:tblStylePr w:type="band1Vert">
      <w:tblPr/>
      <w:tcPr>
        <w:shd w:val="clear" w:color="auto" w:fill="C4DCE5" w:themeFill="accent2" w:themeFillTint="66"/>
      </w:tcPr>
    </w:tblStylePr>
    <w:tblStylePr w:type="band1Horz">
      <w:tblPr/>
      <w:tcPr>
        <w:shd w:val="clear" w:color="auto" w:fill="B6D4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A0EFE"/>
    <w:rPr>
      <w:color w:val="000000" w:themeColor="text1"/>
    </w:rPr>
    <w:tblPr>
      <w:tblStyleRowBandSize w:val="1"/>
      <w:tblStyleColBandSize w:val="1"/>
      <w:tblBorders>
        <w:top w:val="single" w:sz="24" w:space="0" w:color="8C949E" w:themeColor="accent4"/>
        <w:left w:val="single" w:sz="4" w:space="0" w:color="C5DCE7" w:themeColor="accent3"/>
        <w:bottom w:val="single" w:sz="4" w:space="0" w:color="C5DCE7" w:themeColor="accent3"/>
        <w:right w:val="single" w:sz="4" w:space="0" w:color="C5DCE7" w:themeColor="accent3"/>
        <w:insideH w:val="single" w:sz="4" w:space="0" w:color="FFFFFF" w:themeColor="background1"/>
        <w:insideV w:val="single" w:sz="4" w:space="0" w:color="FFFFFF" w:themeColor="background1"/>
      </w:tblBorders>
    </w:tblPr>
    <w:tcPr>
      <w:shd w:val="clear" w:color="auto" w:fill="F9FBFC" w:themeFill="accent3" w:themeFillTint="19"/>
    </w:tcPr>
    <w:tblStylePr w:type="firstRow">
      <w:rPr>
        <w:b/>
        <w:bCs/>
      </w:rPr>
      <w:tblPr/>
      <w:tcPr>
        <w:tcBorders>
          <w:top w:val="nil"/>
          <w:left w:val="nil"/>
          <w:bottom w:val="single" w:sz="24" w:space="0" w:color="8C949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92B4" w:themeFill="accent3" w:themeFillShade="99"/>
      </w:tcPr>
    </w:tblStylePr>
    <w:tblStylePr w:type="firstCol">
      <w:rPr>
        <w:color w:val="FFFFFF" w:themeColor="background1"/>
      </w:rPr>
      <w:tblPr/>
      <w:tcPr>
        <w:tcBorders>
          <w:top w:val="nil"/>
          <w:left w:val="nil"/>
          <w:bottom w:val="nil"/>
          <w:right w:val="nil"/>
          <w:insideH w:val="single" w:sz="4" w:space="0" w:color="4B92B4" w:themeColor="accent3" w:themeShade="99"/>
          <w:insideV w:val="nil"/>
        </w:tcBorders>
        <w:shd w:val="clear" w:color="auto" w:fill="4B92B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92B4" w:themeFill="accent3" w:themeFillShade="99"/>
      </w:tcPr>
    </w:tblStylePr>
    <w:tblStylePr w:type="band1Vert">
      <w:tblPr/>
      <w:tcPr>
        <w:shd w:val="clear" w:color="auto" w:fill="E7F0F5" w:themeFill="accent3" w:themeFillTint="66"/>
      </w:tcPr>
    </w:tblStylePr>
    <w:tblStylePr w:type="band1Horz">
      <w:tblPr/>
      <w:tcPr>
        <w:shd w:val="clear" w:color="auto" w:fill="E2EDF3" w:themeFill="accent3" w:themeFillTint="7F"/>
      </w:tcPr>
    </w:tblStylePr>
  </w:style>
  <w:style w:type="table" w:styleId="ColorfulShading-Accent4">
    <w:name w:val="Colorful Shading Accent 4"/>
    <w:basedOn w:val="TableNormal"/>
    <w:uiPriority w:val="71"/>
    <w:rsid w:val="00DA0EFE"/>
    <w:rPr>
      <w:color w:val="000000" w:themeColor="text1"/>
    </w:rPr>
    <w:tblPr>
      <w:tblStyleRowBandSize w:val="1"/>
      <w:tblStyleColBandSize w:val="1"/>
      <w:tblBorders>
        <w:top w:val="single" w:sz="24" w:space="0" w:color="C5DCE7" w:themeColor="accent3"/>
        <w:left w:val="single" w:sz="4" w:space="0" w:color="8C949E" w:themeColor="accent4"/>
        <w:bottom w:val="single" w:sz="4" w:space="0" w:color="8C949E" w:themeColor="accent4"/>
        <w:right w:val="single" w:sz="4" w:space="0" w:color="8C949E" w:themeColor="accent4"/>
        <w:insideH w:val="single" w:sz="4" w:space="0" w:color="FFFFFF" w:themeColor="background1"/>
        <w:insideV w:val="single" w:sz="4" w:space="0" w:color="FFFFFF" w:themeColor="background1"/>
      </w:tblBorders>
    </w:tblPr>
    <w:tcPr>
      <w:shd w:val="clear" w:color="auto" w:fill="F3F4F5" w:themeFill="accent4" w:themeFillTint="19"/>
    </w:tcPr>
    <w:tblStylePr w:type="firstRow">
      <w:rPr>
        <w:b/>
        <w:bCs/>
      </w:rPr>
      <w:tblPr/>
      <w:tcPr>
        <w:tcBorders>
          <w:top w:val="nil"/>
          <w:left w:val="nil"/>
          <w:bottom w:val="single" w:sz="24" w:space="0" w:color="C5DC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860" w:themeFill="accent4" w:themeFillShade="99"/>
      </w:tcPr>
    </w:tblStylePr>
    <w:tblStylePr w:type="firstCol">
      <w:rPr>
        <w:color w:val="FFFFFF" w:themeColor="background1"/>
      </w:rPr>
      <w:tblPr/>
      <w:tcPr>
        <w:tcBorders>
          <w:top w:val="nil"/>
          <w:left w:val="nil"/>
          <w:bottom w:val="nil"/>
          <w:right w:val="nil"/>
          <w:insideH w:val="single" w:sz="4" w:space="0" w:color="515860" w:themeColor="accent4" w:themeShade="99"/>
          <w:insideV w:val="nil"/>
        </w:tcBorders>
        <w:shd w:val="clear" w:color="auto" w:fill="5158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5860" w:themeFill="accent4" w:themeFillShade="99"/>
      </w:tcPr>
    </w:tblStylePr>
    <w:tblStylePr w:type="band1Vert">
      <w:tblPr/>
      <w:tcPr>
        <w:shd w:val="clear" w:color="auto" w:fill="D0D4D8" w:themeFill="accent4" w:themeFillTint="66"/>
      </w:tcPr>
    </w:tblStylePr>
    <w:tblStylePr w:type="band1Horz">
      <w:tblPr/>
      <w:tcPr>
        <w:shd w:val="clear" w:color="auto" w:fill="C5C9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A0EFE"/>
    <w:rPr>
      <w:color w:val="000000" w:themeColor="text1"/>
    </w:rPr>
    <w:tblPr>
      <w:tblStyleRowBandSize w:val="1"/>
      <w:tblStyleColBandSize w:val="1"/>
      <w:tblBorders>
        <w:top w:val="single" w:sz="24" w:space="0" w:color="DB0B51" w:themeColor="accent6"/>
        <w:left w:val="single" w:sz="4" w:space="0" w:color="C52B1A" w:themeColor="accent5"/>
        <w:bottom w:val="single" w:sz="4" w:space="0" w:color="C52B1A" w:themeColor="accent5"/>
        <w:right w:val="single" w:sz="4" w:space="0" w:color="C52B1A" w:themeColor="accent5"/>
        <w:insideH w:val="single" w:sz="4" w:space="0" w:color="FFFFFF" w:themeColor="background1"/>
        <w:insideV w:val="single" w:sz="4" w:space="0" w:color="FFFFFF" w:themeColor="background1"/>
      </w:tblBorders>
    </w:tblPr>
    <w:tcPr>
      <w:shd w:val="clear" w:color="auto" w:fill="FBE7E5" w:themeFill="accent5" w:themeFillTint="19"/>
    </w:tcPr>
    <w:tblStylePr w:type="firstRow">
      <w:rPr>
        <w:b/>
        <w:bCs/>
      </w:rPr>
      <w:tblPr/>
      <w:tcPr>
        <w:tcBorders>
          <w:top w:val="nil"/>
          <w:left w:val="nil"/>
          <w:bottom w:val="single" w:sz="24" w:space="0" w:color="DB0B5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90F" w:themeFill="accent5" w:themeFillShade="99"/>
      </w:tcPr>
    </w:tblStylePr>
    <w:tblStylePr w:type="firstCol">
      <w:rPr>
        <w:color w:val="FFFFFF" w:themeColor="background1"/>
      </w:rPr>
      <w:tblPr/>
      <w:tcPr>
        <w:tcBorders>
          <w:top w:val="nil"/>
          <w:left w:val="nil"/>
          <w:bottom w:val="nil"/>
          <w:right w:val="nil"/>
          <w:insideH w:val="single" w:sz="4" w:space="0" w:color="76190F" w:themeColor="accent5" w:themeShade="99"/>
          <w:insideV w:val="nil"/>
        </w:tcBorders>
        <w:shd w:val="clear" w:color="auto" w:fill="7619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90F" w:themeFill="accent5" w:themeFillShade="99"/>
      </w:tcPr>
    </w:tblStylePr>
    <w:tblStylePr w:type="band1Vert">
      <w:tblPr/>
      <w:tcPr>
        <w:shd w:val="clear" w:color="auto" w:fill="F1A199" w:themeFill="accent5" w:themeFillTint="66"/>
      </w:tcPr>
    </w:tblStylePr>
    <w:tblStylePr w:type="band1Horz">
      <w:tblPr/>
      <w:tcPr>
        <w:shd w:val="clear" w:color="auto" w:fill="EE8B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A0EFE"/>
    <w:rPr>
      <w:color w:val="000000" w:themeColor="text1"/>
    </w:rPr>
    <w:tblPr>
      <w:tblStyleRowBandSize w:val="1"/>
      <w:tblStyleColBandSize w:val="1"/>
      <w:tblBorders>
        <w:top w:val="single" w:sz="24" w:space="0" w:color="C52B1A" w:themeColor="accent5"/>
        <w:left w:val="single" w:sz="4" w:space="0" w:color="DB0B51" w:themeColor="accent6"/>
        <w:bottom w:val="single" w:sz="4" w:space="0" w:color="DB0B51" w:themeColor="accent6"/>
        <w:right w:val="single" w:sz="4" w:space="0" w:color="DB0B51" w:themeColor="accent6"/>
        <w:insideH w:val="single" w:sz="4" w:space="0" w:color="FFFFFF" w:themeColor="background1"/>
        <w:insideV w:val="single" w:sz="4" w:space="0" w:color="FFFFFF" w:themeColor="background1"/>
      </w:tblBorders>
    </w:tblPr>
    <w:tcPr>
      <w:shd w:val="clear" w:color="auto" w:fill="FDE4EC" w:themeFill="accent6" w:themeFillTint="19"/>
    </w:tcPr>
    <w:tblStylePr w:type="firstRow">
      <w:rPr>
        <w:b/>
        <w:bCs/>
      </w:rPr>
      <w:tblPr/>
      <w:tcPr>
        <w:tcBorders>
          <w:top w:val="nil"/>
          <w:left w:val="nil"/>
          <w:bottom w:val="single" w:sz="24" w:space="0" w:color="C52B1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0630" w:themeFill="accent6" w:themeFillShade="99"/>
      </w:tcPr>
    </w:tblStylePr>
    <w:tblStylePr w:type="firstCol">
      <w:rPr>
        <w:color w:val="FFFFFF" w:themeColor="background1"/>
      </w:rPr>
      <w:tblPr/>
      <w:tcPr>
        <w:tcBorders>
          <w:top w:val="nil"/>
          <w:left w:val="nil"/>
          <w:bottom w:val="nil"/>
          <w:right w:val="nil"/>
          <w:insideH w:val="single" w:sz="4" w:space="0" w:color="830630" w:themeColor="accent6" w:themeShade="99"/>
          <w:insideV w:val="nil"/>
        </w:tcBorders>
        <w:shd w:val="clear" w:color="auto" w:fill="8306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30630" w:themeFill="accent6" w:themeFillShade="99"/>
      </w:tcPr>
    </w:tblStylePr>
    <w:tblStylePr w:type="band1Vert">
      <w:tblPr/>
      <w:tcPr>
        <w:shd w:val="clear" w:color="auto" w:fill="F994B6" w:themeFill="accent6" w:themeFillTint="66"/>
      </w:tcPr>
    </w:tblStylePr>
    <w:tblStylePr w:type="band1Horz">
      <w:tblPr/>
      <w:tcPr>
        <w:shd w:val="clear" w:color="auto" w:fill="F87A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29"/>
    <w:semiHidden/>
    <w:rsid w:val="00DA0EFE"/>
    <w:rPr>
      <w:sz w:val="16"/>
      <w:szCs w:val="16"/>
      <w:lang w:val="en-GB"/>
    </w:rPr>
  </w:style>
  <w:style w:type="paragraph" w:styleId="CommentText">
    <w:name w:val="annotation text"/>
    <w:basedOn w:val="Normal"/>
    <w:link w:val="CommentTextChar"/>
    <w:uiPriority w:val="29"/>
    <w:semiHidden/>
    <w:rsid w:val="00DA0EFE"/>
    <w:rPr>
      <w:szCs w:val="20"/>
    </w:rPr>
  </w:style>
  <w:style w:type="character" w:customStyle="1" w:styleId="CommentTextChar">
    <w:name w:val="Comment Text Char"/>
    <w:basedOn w:val="DefaultParagraphFont"/>
    <w:link w:val="CommentText"/>
    <w:uiPriority w:val="29"/>
    <w:semiHidden/>
    <w:rsid w:val="00DA0EFE"/>
    <w:rPr>
      <w:rFonts w:ascii="Calibri" w:hAnsi="Calibri"/>
      <w:sz w:val="22"/>
      <w:lang w:val="en-GB"/>
    </w:rPr>
  </w:style>
  <w:style w:type="paragraph" w:styleId="CommentSubject">
    <w:name w:val="annotation subject"/>
    <w:basedOn w:val="CommentText"/>
    <w:next w:val="CommentText"/>
    <w:link w:val="CommentSubjectChar"/>
    <w:uiPriority w:val="29"/>
    <w:semiHidden/>
    <w:rsid w:val="00DA0EFE"/>
    <w:rPr>
      <w:b/>
      <w:bCs/>
    </w:rPr>
  </w:style>
  <w:style w:type="character" w:customStyle="1" w:styleId="CommentSubjectChar">
    <w:name w:val="Comment Subject Char"/>
    <w:basedOn w:val="CommentTextChar"/>
    <w:link w:val="CommentSubject"/>
    <w:uiPriority w:val="29"/>
    <w:semiHidden/>
    <w:rsid w:val="00DA0EFE"/>
    <w:rPr>
      <w:rFonts w:ascii="Calibri" w:hAnsi="Calibri"/>
      <w:b/>
      <w:bCs/>
      <w:sz w:val="22"/>
      <w:lang w:val="en-GB"/>
    </w:rPr>
  </w:style>
  <w:style w:type="table" w:customStyle="1" w:styleId="DarkList1">
    <w:name w:val="Dark List1"/>
    <w:basedOn w:val="TableNormal"/>
    <w:uiPriority w:val="70"/>
    <w:rsid w:val="00DA0EF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A0EFE"/>
    <w:rPr>
      <w:color w:val="FFFFFF" w:themeColor="background1"/>
    </w:rPr>
    <w:tblPr>
      <w:tblStyleRowBandSize w:val="1"/>
      <w:tblStyleColBandSize w:val="1"/>
    </w:tblPr>
    <w:tcPr>
      <w:shd w:val="clear" w:color="auto" w:fill="0066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C6A" w:themeFill="accent1" w:themeFillShade="BF"/>
      </w:tcPr>
    </w:tblStylePr>
    <w:tblStylePr w:type="band1Vert">
      <w:tblPr/>
      <w:tcPr>
        <w:tcBorders>
          <w:top w:val="nil"/>
          <w:left w:val="nil"/>
          <w:bottom w:val="nil"/>
          <w:right w:val="nil"/>
          <w:insideH w:val="nil"/>
          <w:insideV w:val="nil"/>
        </w:tcBorders>
        <w:shd w:val="clear" w:color="auto" w:fill="004C6A" w:themeFill="accent1" w:themeFillShade="BF"/>
      </w:tcPr>
    </w:tblStylePr>
    <w:tblStylePr w:type="band1Horz">
      <w:tblPr/>
      <w:tcPr>
        <w:tcBorders>
          <w:top w:val="nil"/>
          <w:left w:val="nil"/>
          <w:bottom w:val="nil"/>
          <w:right w:val="nil"/>
          <w:insideH w:val="nil"/>
          <w:insideV w:val="nil"/>
        </w:tcBorders>
        <w:shd w:val="clear" w:color="auto" w:fill="004C6A" w:themeFill="accent1" w:themeFillShade="BF"/>
      </w:tcPr>
    </w:tblStylePr>
  </w:style>
  <w:style w:type="table" w:styleId="DarkList-Accent2">
    <w:name w:val="Dark List Accent 2"/>
    <w:basedOn w:val="TableNormal"/>
    <w:uiPriority w:val="70"/>
    <w:rsid w:val="00DA0EFE"/>
    <w:rPr>
      <w:color w:val="FFFFFF" w:themeColor="background1"/>
    </w:rPr>
    <w:tblPr>
      <w:tblStyleRowBandSize w:val="1"/>
      <w:tblStyleColBandSize w:val="1"/>
    </w:tblPr>
    <w:tcPr>
      <w:shd w:val="clear" w:color="auto" w:fill="6EA9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576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584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5849C" w:themeFill="accent2" w:themeFillShade="BF"/>
      </w:tcPr>
    </w:tblStylePr>
    <w:tblStylePr w:type="band1Vert">
      <w:tblPr/>
      <w:tcPr>
        <w:tcBorders>
          <w:top w:val="nil"/>
          <w:left w:val="nil"/>
          <w:bottom w:val="nil"/>
          <w:right w:val="nil"/>
          <w:insideH w:val="nil"/>
          <w:insideV w:val="nil"/>
        </w:tcBorders>
        <w:shd w:val="clear" w:color="auto" w:fill="45849C" w:themeFill="accent2" w:themeFillShade="BF"/>
      </w:tcPr>
    </w:tblStylePr>
    <w:tblStylePr w:type="band1Horz">
      <w:tblPr/>
      <w:tcPr>
        <w:tcBorders>
          <w:top w:val="nil"/>
          <w:left w:val="nil"/>
          <w:bottom w:val="nil"/>
          <w:right w:val="nil"/>
          <w:insideH w:val="nil"/>
          <w:insideV w:val="nil"/>
        </w:tcBorders>
        <w:shd w:val="clear" w:color="auto" w:fill="45849C" w:themeFill="accent2" w:themeFillShade="BF"/>
      </w:tcPr>
    </w:tblStylePr>
  </w:style>
  <w:style w:type="table" w:styleId="DarkList-Accent3">
    <w:name w:val="Dark List Accent 3"/>
    <w:basedOn w:val="TableNormal"/>
    <w:uiPriority w:val="70"/>
    <w:rsid w:val="00DA0EFE"/>
    <w:rPr>
      <w:color w:val="FFFFFF" w:themeColor="background1"/>
    </w:rPr>
    <w:tblPr>
      <w:tblStyleRowBandSize w:val="1"/>
      <w:tblStyleColBandSize w:val="1"/>
    </w:tblPr>
    <w:tcPr>
      <w:shd w:val="clear" w:color="auto" w:fill="C5DC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799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ADC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ADC7" w:themeFill="accent3" w:themeFillShade="BF"/>
      </w:tcPr>
    </w:tblStylePr>
    <w:tblStylePr w:type="band1Vert">
      <w:tblPr/>
      <w:tcPr>
        <w:tcBorders>
          <w:top w:val="nil"/>
          <w:left w:val="nil"/>
          <w:bottom w:val="nil"/>
          <w:right w:val="nil"/>
          <w:insideH w:val="nil"/>
          <w:insideV w:val="nil"/>
        </w:tcBorders>
        <w:shd w:val="clear" w:color="auto" w:fill="78ADC7" w:themeFill="accent3" w:themeFillShade="BF"/>
      </w:tcPr>
    </w:tblStylePr>
    <w:tblStylePr w:type="band1Horz">
      <w:tblPr/>
      <w:tcPr>
        <w:tcBorders>
          <w:top w:val="nil"/>
          <w:left w:val="nil"/>
          <w:bottom w:val="nil"/>
          <w:right w:val="nil"/>
          <w:insideH w:val="nil"/>
          <w:insideV w:val="nil"/>
        </w:tcBorders>
        <w:shd w:val="clear" w:color="auto" w:fill="78ADC7" w:themeFill="accent3" w:themeFillShade="BF"/>
      </w:tcPr>
    </w:tblStylePr>
  </w:style>
  <w:style w:type="table" w:styleId="DarkList-Accent4">
    <w:name w:val="Dark List Accent 4"/>
    <w:basedOn w:val="TableNormal"/>
    <w:uiPriority w:val="70"/>
    <w:rsid w:val="00DA0EFE"/>
    <w:rPr>
      <w:color w:val="FFFFFF" w:themeColor="background1"/>
    </w:rPr>
    <w:tblPr>
      <w:tblStyleRowBandSize w:val="1"/>
      <w:tblStyleColBandSize w:val="1"/>
    </w:tblPr>
    <w:tcPr>
      <w:shd w:val="clear" w:color="auto" w:fill="8C949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9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6E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6E78" w:themeFill="accent4" w:themeFillShade="BF"/>
      </w:tcPr>
    </w:tblStylePr>
    <w:tblStylePr w:type="band1Vert">
      <w:tblPr/>
      <w:tcPr>
        <w:tcBorders>
          <w:top w:val="nil"/>
          <w:left w:val="nil"/>
          <w:bottom w:val="nil"/>
          <w:right w:val="nil"/>
          <w:insideH w:val="nil"/>
          <w:insideV w:val="nil"/>
        </w:tcBorders>
        <w:shd w:val="clear" w:color="auto" w:fill="666E78" w:themeFill="accent4" w:themeFillShade="BF"/>
      </w:tcPr>
    </w:tblStylePr>
    <w:tblStylePr w:type="band1Horz">
      <w:tblPr/>
      <w:tcPr>
        <w:tcBorders>
          <w:top w:val="nil"/>
          <w:left w:val="nil"/>
          <w:bottom w:val="nil"/>
          <w:right w:val="nil"/>
          <w:insideH w:val="nil"/>
          <w:insideV w:val="nil"/>
        </w:tcBorders>
        <w:shd w:val="clear" w:color="auto" w:fill="666E78" w:themeFill="accent4" w:themeFillShade="BF"/>
      </w:tcPr>
    </w:tblStylePr>
  </w:style>
  <w:style w:type="table" w:styleId="DarkList-Accent5">
    <w:name w:val="Dark List Accent 5"/>
    <w:basedOn w:val="TableNormal"/>
    <w:uiPriority w:val="70"/>
    <w:rsid w:val="00DA0EFE"/>
    <w:rPr>
      <w:color w:val="FFFFFF" w:themeColor="background1"/>
    </w:rPr>
    <w:tblPr>
      <w:tblStyleRowBandSize w:val="1"/>
      <w:tblStyleColBandSize w:val="1"/>
    </w:tblPr>
    <w:tcPr>
      <w:shd w:val="clear" w:color="auto" w:fill="C52B1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5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20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2013" w:themeFill="accent5" w:themeFillShade="BF"/>
      </w:tcPr>
    </w:tblStylePr>
    <w:tblStylePr w:type="band1Vert">
      <w:tblPr/>
      <w:tcPr>
        <w:tcBorders>
          <w:top w:val="nil"/>
          <w:left w:val="nil"/>
          <w:bottom w:val="nil"/>
          <w:right w:val="nil"/>
          <w:insideH w:val="nil"/>
          <w:insideV w:val="nil"/>
        </w:tcBorders>
        <w:shd w:val="clear" w:color="auto" w:fill="932013" w:themeFill="accent5" w:themeFillShade="BF"/>
      </w:tcPr>
    </w:tblStylePr>
    <w:tblStylePr w:type="band1Horz">
      <w:tblPr/>
      <w:tcPr>
        <w:tcBorders>
          <w:top w:val="nil"/>
          <w:left w:val="nil"/>
          <w:bottom w:val="nil"/>
          <w:right w:val="nil"/>
          <w:insideH w:val="nil"/>
          <w:insideV w:val="nil"/>
        </w:tcBorders>
        <w:shd w:val="clear" w:color="auto" w:fill="932013" w:themeFill="accent5" w:themeFillShade="BF"/>
      </w:tcPr>
    </w:tblStylePr>
  </w:style>
  <w:style w:type="table" w:styleId="DarkList-Accent6">
    <w:name w:val="Dark List Accent 6"/>
    <w:basedOn w:val="TableNormal"/>
    <w:uiPriority w:val="70"/>
    <w:rsid w:val="00DA0EFE"/>
    <w:rPr>
      <w:color w:val="FFFFFF" w:themeColor="background1"/>
    </w:rPr>
    <w:tblPr>
      <w:tblStyleRowBandSize w:val="1"/>
      <w:tblStyleColBandSize w:val="1"/>
    </w:tblPr>
    <w:tcPr>
      <w:shd w:val="clear" w:color="auto" w:fill="DB0B5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052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308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3083C" w:themeFill="accent6" w:themeFillShade="BF"/>
      </w:tcPr>
    </w:tblStylePr>
    <w:tblStylePr w:type="band1Vert">
      <w:tblPr/>
      <w:tcPr>
        <w:tcBorders>
          <w:top w:val="nil"/>
          <w:left w:val="nil"/>
          <w:bottom w:val="nil"/>
          <w:right w:val="nil"/>
          <w:insideH w:val="nil"/>
          <w:insideV w:val="nil"/>
        </w:tcBorders>
        <w:shd w:val="clear" w:color="auto" w:fill="A3083C" w:themeFill="accent6" w:themeFillShade="BF"/>
      </w:tcPr>
    </w:tblStylePr>
    <w:tblStylePr w:type="band1Horz">
      <w:tblPr/>
      <w:tcPr>
        <w:tcBorders>
          <w:top w:val="nil"/>
          <w:left w:val="nil"/>
          <w:bottom w:val="nil"/>
          <w:right w:val="nil"/>
          <w:insideH w:val="nil"/>
          <w:insideV w:val="nil"/>
        </w:tcBorders>
        <w:shd w:val="clear" w:color="auto" w:fill="A3083C" w:themeFill="accent6" w:themeFillShade="BF"/>
      </w:tcPr>
    </w:tblStylePr>
  </w:style>
  <w:style w:type="paragraph" w:styleId="Date">
    <w:name w:val="Date"/>
    <w:basedOn w:val="Normal"/>
    <w:next w:val="Normal"/>
    <w:link w:val="DateChar"/>
    <w:uiPriority w:val="29"/>
    <w:semiHidden/>
    <w:rsid w:val="00DA0EFE"/>
  </w:style>
  <w:style w:type="character" w:customStyle="1" w:styleId="DateChar">
    <w:name w:val="Date Char"/>
    <w:basedOn w:val="DefaultParagraphFont"/>
    <w:link w:val="Date"/>
    <w:uiPriority w:val="29"/>
    <w:semiHidden/>
    <w:rsid w:val="00DA0EFE"/>
    <w:rPr>
      <w:rFonts w:ascii="Calibri" w:hAnsi="Calibri"/>
      <w:sz w:val="22"/>
      <w:szCs w:val="24"/>
      <w:lang w:val="en-GB"/>
    </w:rPr>
  </w:style>
  <w:style w:type="paragraph" w:styleId="DocumentMap">
    <w:name w:val="Document Map"/>
    <w:basedOn w:val="Normal"/>
    <w:link w:val="DocumentMapChar"/>
    <w:uiPriority w:val="29"/>
    <w:semiHidden/>
    <w:rsid w:val="00DA0EFE"/>
    <w:rPr>
      <w:rFonts w:ascii="Tahoma" w:hAnsi="Tahoma" w:cs="Tahoma"/>
      <w:sz w:val="16"/>
      <w:szCs w:val="16"/>
    </w:rPr>
  </w:style>
  <w:style w:type="character" w:customStyle="1" w:styleId="DocumentMapChar">
    <w:name w:val="Document Map Char"/>
    <w:basedOn w:val="DefaultParagraphFont"/>
    <w:link w:val="DocumentMap"/>
    <w:uiPriority w:val="29"/>
    <w:semiHidden/>
    <w:rsid w:val="00DA0EFE"/>
    <w:rPr>
      <w:rFonts w:ascii="Tahoma" w:hAnsi="Tahoma" w:cs="Tahoma"/>
      <w:sz w:val="16"/>
      <w:szCs w:val="16"/>
    </w:rPr>
  </w:style>
  <w:style w:type="paragraph" w:styleId="E-mailSignature">
    <w:name w:val="E-mail Signature"/>
    <w:basedOn w:val="Normal"/>
    <w:link w:val="E-mailSignatureChar"/>
    <w:uiPriority w:val="29"/>
    <w:semiHidden/>
    <w:rsid w:val="00DA0EFE"/>
  </w:style>
  <w:style w:type="character" w:customStyle="1" w:styleId="E-mailSignatureChar">
    <w:name w:val="E-mail Signature Char"/>
    <w:basedOn w:val="DefaultParagraphFont"/>
    <w:link w:val="E-mailSignature"/>
    <w:uiPriority w:val="29"/>
    <w:semiHidden/>
    <w:rsid w:val="00DA0EFE"/>
    <w:rPr>
      <w:rFonts w:ascii="Calibri" w:hAnsi="Calibri"/>
      <w:sz w:val="22"/>
      <w:szCs w:val="24"/>
    </w:rPr>
  </w:style>
  <w:style w:type="character" w:styleId="Emphasis">
    <w:name w:val="Emphasis"/>
    <w:basedOn w:val="DefaultParagraphFont"/>
    <w:uiPriority w:val="29"/>
    <w:semiHidden/>
    <w:rsid w:val="00DA0EFE"/>
    <w:rPr>
      <w:i/>
      <w:iCs/>
    </w:rPr>
  </w:style>
  <w:style w:type="character" w:styleId="EndnoteReference">
    <w:name w:val="endnote reference"/>
    <w:basedOn w:val="DefaultParagraphFont"/>
    <w:uiPriority w:val="29"/>
    <w:semiHidden/>
    <w:rsid w:val="00DA0EFE"/>
    <w:rPr>
      <w:vertAlign w:val="superscript"/>
    </w:rPr>
  </w:style>
  <w:style w:type="paragraph" w:styleId="EndnoteText">
    <w:name w:val="endnote text"/>
    <w:basedOn w:val="Normal"/>
    <w:link w:val="EndnoteTextChar"/>
    <w:uiPriority w:val="29"/>
    <w:semiHidden/>
    <w:rsid w:val="00DA0EFE"/>
    <w:rPr>
      <w:szCs w:val="20"/>
    </w:rPr>
  </w:style>
  <w:style w:type="character" w:customStyle="1" w:styleId="EndnoteTextChar">
    <w:name w:val="Endnote Text Char"/>
    <w:basedOn w:val="DefaultParagraphFont"/>
    <w:link w:val="EndnoteText"/>
    <w:uiPriority w:val="29"/>
    <w:semiHidden/>
    <w:rsid w:val="00DA0EFE"/>
    <w:rPr>
      <w:rFonts w:ascii="Calibri" w:hAnsi="Calibri"/>
      <w:sz w:val="22"/>
    </w:rPr>
  </w:style>
  <w:style w:type="paragraph" w:styleId="EnvelopeAddress">
    <w:name w:val="envelope address"/>
    <w:basedOn w:val="Normal"/>
    <w:uiPriority w:val="29"/>
    <w:semiHidden/>
    <w:rsid w:val="00DA0EF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29"/>
    <w:semiHidden/>
    <w:rsid w:val="00DA0EFE"/>
    <w:rPr>
      <w:rFonts w:asciiTheme="majorHAnsi" w:eastAsiaTheme="majorEastAsia" w:hAnsiTheme="majorHAnsi" w:cstheme="majorBidi"/>
      <w:szCs w:val="20"/>
    </w:rPr>
  </w:style>
  <w:style w:type="character" w:styleId="FollowedHyperlink">
    <w:name w:val="FollowedHyperlink"/>
    <w:basedOn w:val="DefaultParagraphFont"/>
    <w:uiPriority w:val="29"/>
    <w:semiHidden/>
    <w:rsid w:val="00DA0EFE"/>
    <w:rPr>
      <w:color w:val="800080" w:themeColor="followedHyperlink"/>
      <w:u w:val="single"/>
    </w:rPr>
  </w:style>
  <w:style w:type="character" w:styleId="FootnoteReference">
    <w:name w:val="footnote reference"/>
    <w:basedOn w:val="DefaultParagraphFont"/>
    <w:uiPriority w:val="30"/>
    <w:rsid w:val="00DA0EFE"/>
    <w:rPr>
      <w:vertAlign w:val="superscript"/>
    </w:rPr>
  </w:style>
  <w:style w:type="paragraph" w:styleId="FootnoteText">
    <w:name w:val="footnote text"/>
    <w:basedOn w:val="Normal"/>
    <w:link w:val="FootnoteTextChar"/>
    <w:uiPriority w:val="30"/>
    <w:rsid w:val="0019773B"/>
    <w:pPr>
      <w:spacing w:before="0" w:after="0"/>
    </w:pPr>
    <w:rPr>
      <w:sz w:val="18"/>
      <w:szCs w:val="20"/>
    </w:rPr>
  </w:style>
  <w:style w:type="character" w:customStyle="1" w:styleId="FootnoteTextChar">
    <w:name w:val="Footnote Text Char"/>
    <w:basedOn w:val="DefaultParagraphFont"/>
    <w:link w:val="FootnoteText"/>
    <w:uiPriority w:val="30"/>
    <w:rsid w:val="0019773B"/>
    <w:rPr>
      <w:rFonts w:ascii="Calibri" w:hAnsi="Calibri"/>
      <w:sz w:val="18"/>
      <w:lang w:val="en-GB"/>
    </w:rPr>
  </w:style>
  <w:style w:type="character" w:customStyle="1" w:styleId="Heading4Char">
    <w:name w:val="Heading 4 Char"/>
    <w:basedOn w:val="DefaultParagraphFont"/>
    <w:link w:val="Heading4"/>
    <w:uiPriority w:val="3"/>
    <w:rsid w:val="005A7D92"/>
    <w:rPr>
      <w:rFonts w:asciiTheme="majorHAnsi" w:eastAsiaTheme="majorEastAsia" w:hAnsiTheme="majorHAnsi" w:cstheme="majorBidi"/>
      <w:b/>
      <w:bCs/>
      <w:iCs/>
      <w:sz w:val="22"/>
      <w:szCs w:val="24"/>
      <w:lang w:val="en-GB"/>
    </w:rPr>
  </w:style>
  <w:style w:type="character" w:customStyle="1" w:styleId="Heading5Char">
    <w:name w:val="Heading 5 Char"/>
    <w:basedOn w:val="DefaultParagraphFont"/>
    <w:link w:val="Heading5"/>
    <w:uiPriority w:val="4"/>
    <w:semiHidden/>
    <w:rsid w:val="005A7D92"/>
    <w:rPr>
      <w:rFonts w:asciiTheme="majorHAnsi" w:eastAsiaTheme="majorEastAsia" w:hAnsiTheme="majorHAnsi" w:cstheme="majorBidi"/>
      <w:b/>
      <w:sz w:val="22"/>
      <w:szCs w:val="24"/>
      <w:lang w:val="en-GB"/>
    </w:rPr>
  </w:style>
  <w:style w:type="character" w:customStyle="1" w:styleId="Heading6Char">
    <w:name w:val="Heading 6 Char"/>
    <w:basedOn w:val="DefaultParagraphFont"/>
    <w:link w:val="Heading6"/>
    <w:uiPriority w:val="29"/>
    <w:semiHidden/>
    <w:rsid w:val="00DA0EFE"/>
    <w:rPr>
      <w:rFonts w:asciiTheme="majorHAnsi" w:eastAsiaTheme="majorEastAsia" w:hAnsiTheme="majorHAnsi" w:cstheme="majorBidi"/>
      <w:i/>
      <w:iCs/>
      <w:color w:val="003246" w:themeColor="accent1" w:themeShade="7F"/>
      <w:sz w:val="22"/>
      <w:szCs w:val="24"/>
    </w:rPr>
  </w:style>
  <w:style w:type="character" w:customStyle="1" w:styleId="Heading7Char">
    <w:name w:val="Heading 7 Char"/>
    <w:basedOn w:val="DefaultParagraphFont"/>
    <w:link w:val="Heading7"/>
    <w:uiPriority w:val="29"/>
    <w:semiHidden/>
    <w:rsid w:val="00DA0EFE"/>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29"/>
    <w:semiHidden/>
    <w:rsid w:val="00DA0EFE"/>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29"/>
    <w:semiHidden/>
    <w:rsid w:val="00DA0EFE"/>
    <w:rPr>
      <w:rFonts w:asciiTheme="majorHAnsi" w:eastAsiaTheme="majorEastAsia" w:hAnsiTheme="majorHAnsi" w:cstheme="majorBidi"/>
      <w:i/>
      <w:iCs/>
      <w:color w:val="404040" w:themeColor="text1" w:themeTint="BF"/>
      <w:sz w:val="22"/>
    </w:rPr>
  </w:style>
  <w:style w:type="character" w:styleId="HTMLAcronym">
    <w:name w:val="HTML Acronym"/>
    <w:basedOn w:val="DefaultParagraphFont"/>
    <w:uiPriority w:val="29"/>
    <w:semiHidden/>
    <w:rsid w:val="00DA0EFE"/>
  </w:style>
  <w:style w:type="paragraph" w:styleId="HTMLAddress">
    <w:name w:val="HTML Address"/>
    <w:basedOn w:val="Normal"/>
    <w:link w:val="HTMLAddressChar"/>
    <w:uiPriority w:val="29"/>
    <w:semiHidden/>
    <w:rsid w:val="00DA0EFE"/>
    <w:rPr>
      <w:i/>
      <w:iCs/>
    </w:rPr>
  </w:style>
  <w:style w:type="character" w:customStyle="1" w:styleId="HTMLAddressChar">
    <w:name w:val="HTML Address Char"/>
    <w:basedOn w:val="DefaultParagraphFont"/>
    <w:link w:val="HTMLAddress"/>
    <w:uiPriority w:val="29"/>
    <w:semiHidden/>
    <w:rsid w:val="00DA0EFE"/>
    <w:rPr>
      <w:rFonts w:ascii="Calibri" w:hAnsi="Calibri"/>
      <w:i/>
      <w:iCs/>
      <w:sz w:val="22"/>
      <w:szCs w:val="24"/>
    </w:rPr>
  </w:style>
  <w:style w:type="character" w:styleId="HTMLCite">
    <w:name w:val="HTML Cite"/>
    <w:basedOn w:val="DefaultParagraphFont"/>
    <w:uiPriority w:val="29"/>
    <w:semiHidden/>
    <w:rsid w:val="00DA0EFE"/>
    <w:rPr>
      <w:i/>
      <w:iCs/>
    </w:rPr>
  </w:style>
  <w:style w:type="character" w:styleId="HTMLCode">
    <w:name w:val="HTML Code"/>
    <w:basedOn w:val="DefaultParagraphFont"/>
    <w:uiPriority w:val="29"/>
    <w:semiHidden/>
    <w:rsid w:val="00DA0EFE"/>
    <w:rPr>
      <w:rFonts w:ascii="Consolas" w:hAnsi="Consolas" w:cs="Consolas"/>
      <w:sz w:val="20"/>
      <w:szCs w:val="20"/>
    </w:rPr>
  </w:style>
  <w:style w:type="character" w:styleId="HTMLDefinition">
    <w:name w:val="HTML Definition"/>
    <w:basedOn w:val="DefaultParagraphFont"/>
    <w:uiPriority w:val="29"/>
    <w:semiHidden/>
    <w:rsid w:val="00DA0EFE"/>
    <w:rPr>
      <w:i/>
      <w:iCs/>
    </w:rPr>
  </w:style>
  <w:style w:type="character" w:styleId="HTMLKeyboard">
    <w:name w:val="HTML Keyboard"/>
    <w:basedOn w:val="DefaultParagraphFont"/>
    <w:uiPriority w:val="29"/>
    <w:semiHidden/>
    <w:rsid w:val="00DA0EFE"/>
    <w:rPr>
      <w:rFonts w:ascii="Consolas" w:hAnsi="Consolas" w:cs="Consolas"/>
      <w:sz w:val="20"/>
      <w:szCs w:val="20"/>
    </w:rPr>
  </w:style>
  <w:style w:type="paragraph" w:styleId="HTMLPreformatted">
    <w:name w:val="HTML Preformatted"/>
    <w:basedOn w:val="Normal"/>
    <w:link w:val="HTMLPreformattedChar"/>
    <w:uiPriority w:val="29"/>
    <w:semiHidden/>
    <w:rsid w:val="00DA0EFE"/>
    <w:rPr>
      <w:rFonts w:ascii="Consolas" w:hAnsi="Consolas" w:cs="Consolas"/>
      <w:szCs w:val="20"/>
    </w:rPr>
  </w:style>
  <w:style w:type="character" w:customStyle="1" w:styleId="HTMLPreformattedChar">
    <w:name w:val="HTML Preformatted Char"/>
    <w:basedOn w:val="DefaultParagraphFont"/>
    <w:link w:val="HTMLPreformatted"/>
    <w:uiPriority w:val="29"/>
    <w:semiHidden/>
    <w:rsid w:val="00DA0EFE"/>
    <w:rPr>
      <w:rFonts w:ascii="Consolas" w:hAnsi="Consolas" w:cs="Consolas"/>
      <w:sz w:val="22"/>
    </w:rPr>
  </w:style>
  <w:style w:type="character" w:styleId="HTMLSample">
    <w:name w:val="HTML Sample"/>
    <w:basedOn w:val="DefaultParagraphFont"/>
    <w:uiPriority w:val="29"/>
    <w:semiHidden/>
    <w:rsid w:val="00DA0EFE"/>
    <w:rPr>
      <w:rFonts w:ascii="Consolas" w:hAnsi="Consolas" w:cs="Consolas"/>
      <w:sz w:val="24"/>
      <w:szCs w:val="24"/>
    </w:rPr>
  </w:style>
  <w:style w:type="character" w:styleId="HTMLTypewriter">
    <w:name w:val="HTML Typewriter"/>
    <w:basedOn w:val="DefaultParagraphFont"/>
    <w:uiPriority w:val="29"/>
    <w:semiHidden/>
    <w:rsid w:val="00DA0EFE"/>
    <w:rPr>
      <w:rFonts w:ascii="Consolas" w:hAnsi="Consolas" w:cs="Consolas"/>
      <w:sz w:val="20"/>
      <w:szCs w:val="20"/>
    </w:rPr>
  </w:style>
  <w:style w:type="character" w:styleId="HTMLVariable">
    <w:name w:val="HTML Variable"/>
    <w:basedOn w:val="DefaultParagraphFont"/>
    <w:uiPriority w:val="29"/>
    <w:semiHidden/>
    <w:rsid w:val="00DA0EFE"/>
    <w:rPr>
      <w:i/>
      <w:iCs/>
    </w:rPr>
  </w:style>
  <w:style w:type="character" w:styleId="Hyperlink">
    <w:name w:val="Hyperlink"/>
    <w:basedOn w:val="DefaultParagraphFont"/>
    <w:uiPriority w:val="99"/>
    <w:rsid w:val="00DA0EFE"/>
    <w:rPr>
      <w:color w:val="0000FF" w:themeColor="hyperlink"/>
      <w:u w:val="single"/>
    </w:rPr>
  </w:style>
  <w:style w:type="paragraph" w:styleId="Index1">
    <w:name w:val="index 1"/>
    <w:basedOn w:val="Normal"/>
    <w:next w:val="Normal"/>
    <w:autoRedefine/>
    <w:uiPriority w:val="29"/>
    <w:semiHidden/>
    <w:rsid w:val="00DA0EFE"/>
    <w:pPr>
      <w:ind w:left="200" w:hanging="200"/>
    </w:pPr>
  </w:style>
  <w:style w:type="paragraph" w:styleId="Index2">
    <w:name w:val="index 2"/>
    <w:basedOn w:val="Normal"/>
    <w:next w:val="Normal"/>
    <w:autoRedefine/>
    <w:uiPriority w:val="29"/>
    <w:semiHidden/>
    <w:rsid w:val="00DA0EFE"/>
    <w:pPr>
      <w:ind w:left="400" w:hanging="200"/>
    </w:pPr>
  </w:style>
  <w:style w:type="paragraph" w:styleId="Index3">
    <w:name w:val="index 3"/>
    <w:basedOn w:val="Normal"/>
    <w:next w:val="Normal"/>
    <w:autoRedefine/>
    <w:uiPriority w:val="29"/>
    <w:semiHidden/>
    <w:rsid w:val="00DA0EFE"/>
    <w:pPr>
      <w:ind w:left="600" w:hanging="200"/>
    </w:pPr>
  </w:style>
  <w:style w:type="paragraph" w:styleId="Index4">
    <w:name w:val="index 4"/>
    <w:basedOn w:val="Normal"/>
    <w:next w:val="Normal"/>
    <w:autoRedefine/>
    <w:uiPriority w:val="29"/>
    <w:semiHidden/>
    <w:rsid w:val="00DA0EFE"/>
    <w:pPr>
      <w:ind w:left="800" w:hanging="200"/>
    </w:pPr>
  </w:style>
  <w:style w:type="paragraph" w:styleId="Index5">
    <w:name w:val="index 5"/>
    <w:basedOn w:val="Normal"/>
    <w:next w:val="Normal"/>
    <w:autoRedefine/>
    <w:uiPriority w:val="29"/>
    <w:semiHidden/>
    <w:rsid w:val="00DA0EFE"/>
    <w:pPr>
      <w:ind w:left="1000" w:hanging="200"/>
    </w:pPr>
  </w:style>
  <w:style w:type="paragraph" w:styleId="Index6">
    <w:name w:val="index 6"/>
    <w:basedOn w:val="Normal"/>
    <w:next w:val="Normal"/>
    <w:autoRedefine/>
    <w:uiPriority w:val="29"/>
    <w:semiHidden/>
    <w:rsid w:val="00DA0EFE"/>
    <w:pPr>
      <w:ind w:left="1200" w:hanging="200"/>
    </w:pPr>
  </w:style>
  <w:style w:type="paragraph" w:styleId="Index7">
    <w:name w:val="index 7"/>
    <w:basedOn w:val="Normal"/>
    <w:next w:val="Normal"/>
    <w:autoRedefine/>
    <w:uiPriority w:val="29"/>
    <w:semiHidden/>
    <w:rsid w:val="00DA0EFE"/>
    <w:pPr>
      <w:ind w:left="1400" w:hanging="200"/>
    </w:pPr>
  </w:style>
  <w:style w:type="paragraph" w:styleId="Index8">
    <w:name w:val="index 8"/>
    <w:basedOn w:val="Normal"/>
    <w:next w:val="Normal"/>
    <w:autoRedefine/>
    <w:uiPriority w:val="29"/>
    <w:semiHidden/>
    <w:rsid w:val="00DA0EFE"/>
    <w:pPr>
      <w:ind w:left="1600" w:hanging="200"/>
    </w:pPr>
  </w:style>
  <w:style w:type="paragraph" w:styleId="Index9">
    <w:name w:val="index 9"/>
    <w:basedOn w:val="Normal"/>
    <w:next w:val="Normal"/>
    <w:autoRedefine/>
    <w:uiPriority w:val="29"/>
    <w:semiHidden/>
    <w:rsid w:val="00DA0EFE"/>
    <w:pPr>
      <w:ind w:left="1800" w:hanging="200"/>
    </w:pPr>
  </w:style>
  <w:style w:type="paragraph" w:styleId="IndexHeading">
    <w:name w:val="index heading"/>
    <w:basedOn w:val="Normal"/>
    <w:next w:val="Index1"/>
    <w:uiPriority w:val="29"/>
    <w:semiHidden/>
    <w:rsid w:val="00DA0EFE"/>
    <w:rPr>
      <w:rFonts w:asciiTheme="majorHAnsi" w:eastAsiaTheme="majorEastAsia" w:hAnsiTheme="majorHAnsi" w:cstheme="majorBidi"/>
      <w:b/>
      <w:bCs/>
    </w:rPr>
  </w:style>
  <w:style w:type="character" w:styleId="IntenseEmphasis">
    <w:name w:val="Intense Emphasis"/>
    <w:basedOn w:val="DefaultParagraphFont"/>
    <w:uiPriority w:val="29"/>
    <w:semiHidden/>
    <w:rsid w:val="00DA0EFE"/>
    <w:rPr>
      <w:b/>
      <w:bCs/>
      <w:i/>
      <w:iCs/>
      <w:color w:val="00668E" w:themeColor="accent1"/>
    </w:rPr>
  </w:style>
  <w:style w:type="paragraph" w:styleId="IntenseQuote">
    <w:name w:val="Intense Quote"/>
    <w:basedOn w:val="Normal"/>
    <w:next w:val="Normal"/>
    <w:link w:val="IntenseQuoteChar"/>
    <w:uiPriority w:val="29"/>
    <w:semiHidden/>
    <w:rsid w:val="00DA0EFE"/>
    <w:pPr>
      <w:pBdr>
        <w:bottom w:val="single" w:sz="4" w:space="4" w:color="00668E" w:themeColor="accent1"/>
      </w:pBdr>
      <w:spacing w:before="200" w:after="280"/>
      <w:ind w:left="936" w:right="936"/>
    </w:pPr>
    <w:rPr>
      <w:b/>
      <w:bCs/>
      <w:i/>
      <w:iCs/>
      <w:color w:val="00668E" w:themeColor="accent1"/>
    </w:rPr>
  </w:style>
  <w:style w:type="character" w:customStyle="1" w:styleId="IntenseQuoteChar">
    <w:name w:val="Intense Quote Char"/>
    <w:basedOn w:val="DefaultParagraphFont"/>
    <w:link w:val="IntenseQuote"/>
    <w:uiPriority w:val="29"/>
    <w:semiHidden/>
    <w:rsid w:val="00DA0EFE"/>
    <w:rPr>
      <w:rFonts w:ascii="Calibri" w:hAnsi="Calibri"/>
      <w:b/>
      <w:bCs/>
      <w:i/>
      <w:iCs/>
      <w:color w:val="00668E" w:themeColor="accent1"/>
      <w:sz w:val="22"/>
      <w:szCs w:val="24"/>
    </w:rPr>
  </w:style>
  <w:style w:type="character" w:styleId="IntenseReference">
    <w:name w:val="Intense Reference"/>
    <w:basedOn w:val="DefaultParagraphFont"/>
    <w:uiPriority w:val="29"/>
    <w:semiHidden/>
    <w:rsid w:val="00DA0EFE"/>
    <w:rPr>
      <w:b/>
      <w:bCs/>
      <w:smallCaps/>
      <w:color w:val="6EA9BF" w:themeColor="accent2"/>
      <w:spacing w:val="5"/>
      <w:u w:val="single"/>
    </w:rPr>
  </w:style>
  <w:style w:type="table" w:customStyle="1" w:styleId="LightGrid1">
    <w:name w:val="Light Grid1"/>
    <w:basedOn w:val="TableNormal"/>
    <w:uiPriority w:val="62"/>
    <w:rsid w:val="00DA0E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A0EFE"/>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insideH w:val="single" w:sz="8" w:space="0" w:color="00668E" w:themeColor="accent1"/>
        <w:insideV w:val="single" w:sz="8" w:space="0" w:color="0066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18" w:space="0" w:color="00668E" w:themeColor="accent1"/>
          <w:right w:val="single" w:sz="8" w:space="0" w:color="00668E" w:themeColor="accent1"/>
          <w:insideH w:val="nil"/>
          <w:insideV w:val="single" w:sz="8" w:space="0" w:color="0066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insideH w:val="nil"/>
          <w:insideV w:val="single" w:sz="8" w:space="0" w:color="0066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shd w:val="clear" w:color="auto" w:fill="A4E5FF" w:themeFill="accent1" w:themeFillTint="3F"/>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shd w:val="clear" w:color="auto" w:fill="A4E5FF" w:themeFill="accent1" w:themeFillTint="3F"/>
      </w:tcPr>
    </w:tblStylePr>
    <w:tblStylePr w:type="band2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tcPr>
    </w:tblStylePr>
  </w:style>
  <w:style w:type="table" w:styleId="LightGrid-Accent2">
    <w:name w:val="Light Grid Accent 2"/>
    <w:basedOn w:val="TableNormal"/>
    <w:uiPriority w:val="62"/>
    <w:rsid w:val="00DA0EFE"/>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insideH w:val="single" w:sz="8" w:space="0" w:color="6EA9BF" w:themeColor="accent2"/>
        <w:insideV w:val="single" w:sz="8" w:space="0" w:color="6EA9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9BF" w:themeColor="accent2"/>
          <w:left w:val="single" w:sz="8" w:space="0" w:color="6EA9BF" w:themeColor="accent2"/>
          <w:bottom w:val="single" w:sz="18" w:space="0" w:color="6EA9BF" w:themeColor="accent2"/>
          <w:right w:val="single" w:sz="8" w:space="0" w:color="6EA9BF" w:themeColor="accent2"/>
          <w:insideH w:val="nil"/>
          <w:insideV w:val="single" w:sz="8" w:space="0" w:color="6EA9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9BF" w:themeColor="accent2"/>
          <w:left w:val="single" w:sz="8" w:space="0" w:color="6EA9BF" w:themeColor="accent2"/>
          <w:bottom w:val="single" w:sz="8" w:space="0" w:color="6EA9BF" w:themeColor="accent2"/>
          <w:right w:val="single" w:sz="8" w:space="0" w:color="6EA9BF" w:themeColor="accent2"/>
          <w:insideH w:val="nil"/>
          <w:insideV w:val="single" w:sz="8" w:space="0" w:color="6EA9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tcPr>
    </w:tblStylePr>
    <w:tblStylePr w:type="band1Vert">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shd w:val="clear" w:color="auto" w:fill="DBE9EF" w:themeFill="accent2" w:themeFillTint="3F"/>
      </w:tcPr>
    </w:tblStylePr>
    <w:tblStylePr w:type="band1Horz">
      <w:tblPr/>
      <w:tcPr>
        <w:tcBorders>
          <w:top w:val="single" w:sz="8" w:space="0" w:color="6EA9BF" w:themeColor="accent2"/>
          <w:left w:val="single" w:sz="8" w:space="0" w:color="6EA9BF" w:themeColor="accent2"/>
          <w:bottom w:val="single" w:sz="8" w:space="0" w:color="6EA9BF" w:themeColor="accent2"/>
          <w:right w:val="single" w:sz="8" w:space="0" w:color="6EA9BF" w:themeColor="accent2"/>
          <w:insideV w:val="single" w:sz="8" w:space="0" w:color="6EA9BF" w:themeColor="accent2"/>
        </w:tcBorders>
        <w:shd w:val="clear" w:color="auto" w:fill="DBE9EF" w:themeFill="accent2" w:themeFillTint="3F"/>
      </w:tcPr>
    </w:tblStylePr>
    <w:tblStylePr w:type="band2Horz">
      <w:tblPr/>
      <w:tcPr>
        <w:tcBorders>
          <w:top w:val="single" w:sz="8" w:space="0" w:color="6EA9BF" w:themeColor="accent2"/>
          <w:left w:val="single" w:sz="8" w:space="0" w:color="6EA9BF" w:themeColor="accent2"/>
          <w:bottom w:val="single" w:sz="8" w:space="0" w:color="6EA9BF" w:themeColor="accent2"/>
          <w:right w:val="single" w:sz="8" w:space="0" w:color="6EA9BF" w:themeColor="accent2"/>
          <w:insideV w:val="single" w:sz="8" w:space="0" w:color="6EA9BF" w:themeColor="accent2"/>
        </w:tcBorders>
      </w:tcPr>
    </w:tblStylePr>
  </w:style>
  <w:style w:type="table" w:styleId="LightGrid-Accent3">
    <w:name w:val="Light Grid Accent 3"/>
    <w:basedOn w:val="TableNormal"/>
    <w:uiPriority w:val="62"/>
    <w:rsid w:val="00DA0EFE"/>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insideH w:val="single" w:sz="8" w:space="0" w:color="C5DCE7" w:themeColor="accent3"/>
        <w:insideV w:val="single" w:sz="8" w:space="0" w:color="C5DC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DCE7" w:themeColor="accent3"/>
          <w:left w:val="single" w:sz="8" w:space="0" w:color="C5DCE7" w:themeColor="accent3"/>
          <w:bottom w:val="single" w:sz="18" w:space="0" w:color="C5DCE7" w:themeColor="accent3"/>
          <w:right w:val="single" w:sz="8" w:space="0" w:color="C5DCE7" w:themeColor="accent3"/>
          <w:insideH w:val="nil"/>
          <w:insideV w:val="single" w:sz="8" w:space="0" w:color="C5DC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DCE7" w:themeColor="accent3"/>
          <w:left w:val="single" w:sz="8" w:space="0" w:color="C5DCE7" w:themeColor="accent3"/>
          <w:bottom w:val="single" w:sz="8" w:space="0" w:color="C5DCE7" w:themeColor="accent3"/>
          <w:right w:val="single" w:sz="8" w:space="0" w:color="C5DCE7" w:themeColor="accent3"/>
          <w:insideH w:val="nil"/>
          <w:insideV w:val="single" w:sz="8" w:space="0" w:color="C5DC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tcPr>
    </w:tblStylePr>
    <w:tblStylePr w:type="band1Vert">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shd w:val="clear" w:color="auto" w:fill="F0F6F9" w:themeFill="accent3" w:themeFillTint="3F"/>
      </w:tcPr>
    </w:tblStylePr>
    <w:tblStylePr w:type="band1Horz">
      <w:tblPr/>
      <w:tcPr>
        <w:tcBorders>
          <w:top w:val="single" w:sz="8" w:space="0" w:color="C5DCE7" w:themeColor="accent3"/>
          <w:left w:val="single" w:sz="8" w:space="0" w:color="C5DCE7" w:themeColor="accent3"/>
          <w:bottom w:val="single" w:sz="8" w:space="0" w:color="C5DCE7" w:themeColor="accent3"/>
          <w:right w:val="single" w:sz="8" w:space="0" w:color="C5DCE7" w:themeColor="accent3"/>
          <w:insideV w:val="single" w:sz="8" w:space="0" w:color="C5DCE7" w:themeColor="accent3"/>
        </w:tcBorders>
        <w:shd w:val="clear" w:color="auto" w:fill="F0F6F9" w:themeFill="accent3" w:themeFillTint="3F"/>
      </w:tcPr>
    </w:tblStylePr>
    <w:tblStylePr w:type="band2Horz">
      <w:tblPr/>
      <w:tcPr>
        <w:tcBorders>
          <w:top w:val="single" w:sz="8" w:space="0" w:color="C5DCE7" w:themeColor="accent3"/>
          <w:left w:val="single" w:sz="8" w:space="0" w:color="C5DCE7" w:themeColor="accent3"/>
          <w:bottom w:val="single" w:sz="8" w:space="0" w:color="C5DCE7" w:themeColor="accent3"/>
          <w:right w:val="single" w:sz="8" w:space="0" w:color="C5DCE7" w:themeColor="accent3"/>
          <w:insideV w:val="single" w:sz="8" w:space="0" w:color="C5DCE7" w:themeColor="accent3"/>
        </w:tcBorders>
      </w:tcPr>
    </w:tblStylePr>
  </w:style>
  <w:style w:type="table" w:styleId="LightGrid-Accent4">
    <w:name w:val="Light Grid Accent 4"/>
    <w:basedOn w:val="TableNormal"/>
    <w:uiPriority w:val="62"/>
    <w:rsid w:val="00DA0EFE"/>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insideH w:val="single" w:sz="8" w:space="0" w:color="8C949E" w:themeColor="accent4"/>
        <w:insideV w:val="single" w:sz="8" w:space="0" w:color="8C949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949E" w:themeColor="accent4"/>
          <w:left w:val="single" w:sz="8" w:space="0" w:color="8C949E" w:themeColor="accent4"/>
          <w:bottom w:val="single" w:sz="18" w:space="0" w:color="8C949E" w:themeColor="accent4"/>
          <w:right w:val="single" w:sz="8" w:space="0" w:color="8C949E" w:themeColor="accent4"/>
          <w:insideH w:val="nil"/>
          <w:insideV w:val="single" w:sz="8" w:space="0" w:color="8C949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949E" w:themeColor="accent4"/>
          <w:left w:val="single" w:sz="8" w:space="0" w:color="8C949E" w:themeColor="accent4"/>
          <w:bottom w:val="single" w:sz="8" w:space="0" w:color="8C949E" w:themeColor="accent4"/>
          <w:right w:val="single" w:sz="8" w:space="0" w:color="8C949E" w:themeColor="accent4"/>
          <w:insideH w:val="nil"/>
          <w:insideV w:val="single" w:sz="8" w:space="0" w:color="8C949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tcPr>
    </w:tblStylePr>
    <w:tblStylePr w:type="band1Vert">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shd w:val="clear" w:color="auto" w:fill="E2E4E7" w:themeFill="accent4" w:themeFillTint="3F"/>
      </w:tcPr>
    </w:tblStylePr>
    <w:tblStylePr w:type="band1Horz">
      <w:tblPr/>
      <w:tcPr>
        <w:tcBorders>
          <w:top w:val="single" w:sz="8" w:space="0" w:color="8C949E" w:themeColor="accent4"/>
          <w:left w:val="single" w:sz="8" w:space="0" w:color="8C949E" w:themeColor="accent4"/>
          <w:bottom w:val="single" w:sz="8" w:space="0" w:color="8C949E" w:themeColor="accent4"/>
          <w:right w:val="single" w:sz="8" w:space="0" w:color="8C949E" w:themeColor="accent4"/>
          <w:insideV w:val="single" w:sz="8" w:space="0" w:color="8C949E" w:themeColor="accent4"/>
        </w:tcBorders>
        <w:shd w:val="clear" w:color="auto" w:fill="E2E4E7" w:themeFill="accent4" w:themeFillTint="3F"/>
      </w:tcPr>
    </w:tblStylePr>
    <w:tblStylePr w:type="band2Horz">
      <w:tblPr/>
      <w:tcPr>
        <w:tcBorders>
          <w:top w:val="single" w:sz="8" w:space="0" w:color="8C949E" w:themeColor="accent4"/>
          <w:left w:val="single" w:sz="8" w:space="0" w:color="8C949E" w:themeColor="accent4"/>
          <w:bottom w:val="single" w:sz="8" w:space="0" w:color="8C949E" w:themeColor="accent4"/>
          <w:right w:val="single" w:sz="8" w:space="0" w:color="8C949E" w:themeColor="accent4"/>
          <w:insideV w:val="single" w:sz="8" w:space="0" w:color="8C949E" w:themeColor="accent4"/>
        </w:tcBorders>
      </w:tcPr>
    </w:tblStylePr>
  </w:style>
  <w:style w:type="table" w:styleId="LightGrid-Accent5">
    <w:name w:val="Light Grid Accent 5"/>
    <w:basedOn w:val="TableNormal"/>
    <w:uiPriority w:val="62"/>
    <w:rsid w:val="00DA0EFE"/>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insideH w:val="single" w:sz="8" w:space="0" w:color="C52B1A" w:themeColor="accent5"/>
        <w:insideV w:val="single" w:sz="8" w:space="0" w:color="C52B1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2B1A" w:themeColor="accent5"/>
          <w:left w:val="single" w:sz="8" w:space="0" w:color="C52B1A" w:themeColor="accent5"/>
          <w:bottom w:val="single" w:sz="18" w:space="0" w:color="C52B1A" w:themeColor="accent5"/>
          <w:right w:val="single" w:sz="8" w:space="0" w:color="C52B1A" w:themeColor="accent5"/>
          <w:insideH w:val="nil"/>
          <w:insideV w:val="single" w:sz="8" w:space="0" w:color="C52B1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2B1A" w:themeColor="accent5"/>
          <w:left w:val="single" w:sz="8" w:space="0" w:color="C52B1A" w:themeColor="accent5"/>
          <w:bottom w:val="single" w:sz="8" w:space="0" w:color="C52B1A" w:themeColor="accent5"/>
          <w:right w:val="single" w:sz="8" w:space="0" w:color="C52B1A" w:themeColor="accent5"/>
          <w:insideH w:val="nil"/>
          <w:insideV w:val="single" w:sz="8" w:space="0" w:color="C52B1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tcPr>
    </w:tblStylePr>
    <w:tblStylePr w:type="band1Vert">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shd w:val="clear" w:color="auto" w:fill="F6C5C0" w:themeFill="accent5" w:themeFillTint="3F"/>
      </w:tcPr>
    </w:tblStylePr>
    <w:tblStylePr w:type="band1Horz">
      <w:tblPr/>
      <w:tcPr>
        <w:tcBorders>
          <w:top w:val="single" w:sz="8" w:space="0" w:color="C52B1A" w:themeColor="accent5"/>
          <w:left w:val="single" w:sz="8" w:space="0" w:color="C52B1A" w:themeColor="accent5"/>
          <w:bottom w:val="single" w:sz="8" w:space="0" w:color="C52B1A" w:themeColor="accent5"/>
          <w:right w:val="single" w:sz="8" w:space="0" w:color="C52B1A" w:themeColor="accent5"/>
          <w:insideV w:val="single" w:sz="8" w:space="0" w:color="C52B1A" w:themeColor="accent5"/>
        </w:tcBorders>
        <w:shd w:val="clear" w:color="auto" w:fill="F6C5C0" w:themeFill="accent5" w:themeFillTint="3F"/>
      </w:tcPr>
    </w:tblStylePr>
    <w:tblStylePr w:type="band2Horz">
      <w:tblPr/>
      <w:tcPr>
        <w:tcBorders>
          <w:top w:val="single" w:sz="8" w:space="0" w:color="C52B1A" w:themeColor="accent5"/>
          <w:left w:val="single" w:sz="8" w:space="0" w:color="C52B1A" w:themeColor="accent5"/>
          <w:bottom w:val="single" w:sz="8" w:space="0" w:color="C52B1A" w:themeColor="accent5"/>
          <w:right w:val="single" w:sz="8" w:space="0" w:color="C52B1A" w:themeColor="accent5"/>
          <w:insideV w:val="single" w:sz="8" w:space="0" w:color="C52B1A" w:themeColor="accent5"/>
        </w:tcBorders>
      </w:tcPr>
    </w:tblStylePr>
  </w:style>
  <w:style w:type="table" w:styleId="LightGrid-Accent6">
    <w:name w:val="Light Grid Accent 6"/>
    <w:basedOn w:val="TableNormal"/>
    <w:uiPriority w:val="62"/>
    <w:rsid w:val="00DA0EFE"/>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insideH w:val="single" w:sz="8" w:space="0" w:color="DB0B51" w:themeColor="accent6"/>
        <w:insideV w:val="single" w:sz="8" w:space="0" w:color="DB0B5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0B51" w:themeColor="accent6"/>
          <w:left w:val="single" w:sz="8" w:space="0" w:color="DB0B51" w:themeColor="accent6"/>
          <w:bottom w:val="single" w:sz="18" w:space="0" w:color="DB0B51" w:themeColor="accent6"/>
          <w:right w:val="single" w:sz="8" w:space="0" w:color="DB0B51" w:themeColor="accent6"/>
          <w:insideH w:val="nil"/>
          <w:insideV w:val="single" w:sz="8" w:space="0" w:color="DB0B5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0B51" w:themeColor="accent6"/>
          <w:left w:val="single" w:sz="8" w:space="0" w:color="DB0B51" w:themeColor="accent6"/>
          <w:bottom w:val="single" w:sz="8" w:space="0" w:color="DB0B51" w:themeColor="accent6"/>
          <w:right w:val="single" w:sz="8" w:space="0" w:color="DB0B51" w:themeColor="accent6"/>
          <w:insideH w:val="nil"/>
          <w:insideV w:val="single" w:sz="8" w:space="0" w:color="DB0B5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tcPr>
    </w:tblStylePr>
    <w:tblStylePr w:type="band1Vert">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shd w:val="clear" w:color="auto" w:fill="FBBCD1" w:themeFill="accent6" w:themeFillTint="3F"/>
      </w:tcPr>
    </w:tblStylePr>
    <w:tblStylePr w:type="band1Horz">
      <w:tblPr/>
      <w:tcPr>
        <w:tcBorders>
          <w:top w:val="single" w:sz="8" w:space="0" w:color="DB0B51" w:themeColor="accent6"/>
          <w:left w:val="single" w:sz="8" w:space="0" w:color="DB0B51" w:themeColor="accent6"/>
          <w:bottom w:val="single" w:sz="8" w:space="0" w:color="DB0B51" w:themeColor="accent6"/>
          <w:right w:val="single" w:sz="8" w:space="0" w:color="DB0B51" w:themeColor="accent6"/>
          <w:insideV w:val="single" w:sz="8" w:space="0" w:color="DB0B51" w:themeColor="accent6"/>
        </w:tcBorders>
        <w:shd w:val="clear" w:color="auto" w:fill="FBBCD1" w:themeFill="accent6" w:themeFillTint="3F"/>
      </w:tcPr>
    </w:tblStylePr>
    <w:tblStylePr w:type="band2Horz">
      <w:tblPr/>
      <w:tcPr>
        <w:tcBorders>
          <w:top w:val="single" w:sz="8" w:space="0" w:color="DB0B51" w:themeColor="accent6"/>
          <w:left w:val="single" w:sz="8" w:space="0" w:color="DB0B51" w:themeColor="accent6"/>
          <w:bottom w:val="single" w:sz="8" w:space="0" w:color="DB0B51" w:themeColor="accent6"/>
          <w:right w:val="single" w:sz="8" w:space="0" w:color="DB0B51" w:themeColor="accent6"/>
          <w:insideV w:val="single" w:sz="8" w:space="0" w:color="DB0B51" w:themeColor="accent6"/>
        </w:tcBorders>
      </w:tcPr>
    </w:tblStylePr>
  </w:style>
  <w:style w:type="table" w:customStyle="1" w:styleId="LightList1">
    <w:name w:val="Light List1"/>
    <w:basedOn w:val="TableNormal"/>
    <w:uiPriority w:val="61"/>
    <w:rsid w:val="00DA0EF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A0EFE"/>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tblBorders>
    </w:tblPr>
    <w:tblStylePr w:type="firstRow">
      <w:pPr>
        <w:spacing w:before="0" w:after="0" w:line="240" w:lineRule="auto"/>
      </w:pPr>
      <w:rPr>
        <w:b/>
        <w:bCs/>
        <w:color w:val="FFFFFF" w:themeColor="background1"/>
      </w:rPr>
      <w:tblPr/>
      <w:tcPr>
        <w:shd w:val="clear" w:color="auto" w:fill="00668E" w:themeFill="accent1"/>
      </w:tcPr>
    </w:tblStylePr>
    <w:tblStylePr w:type="lastRow">
      <w:pPr>
        <w:spacing w:before="0" w:after="0" w:line="240" w:lineRule="auto"/>
      </w:pPr>
      <w:rPr>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tcBorders>
      </w:tcPr>
    </w:tblStylePr>
    <w:tblStylePr w:type="firstCol">
      <w:rPr>
        <w:b/>
        <w:bCs/>
      </w:rPr>
    </w:tblStylePr>
    <w:tblStylePr w:type="lastCol">
      <w:rPr>
        <w:b/>
        <w:bCs/>
      </w:r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style>
  <w:style w:type="table" w:styleId="LightList-Accent2">
    <w:name w:val="Light List Accent 2"/>
    <w:basedOn w:val="TableNormal"/>
    <w:uiPriority w:val="61"/>
    <w:rsid w:val="00DA0EFE"/>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tblBorders>
    </w:tblPr>
    <w:tblStylePr w:type="firstRow">
      <w:pPr>
        <w:spacing w:before="0" w:after="0" w:line="240" w:lineRule="auto"/>
      </w:pPr>
      <w:rPr>
        <w:b/>
        <w:bCs/>
        <w:color w:val="FFFFFF" w:themeColor="background1"/>
      </w:rPr>
      <w:tblPr/>
      <w:tcPr>
        <w:shd w:val="clear" w:color="auto" w:fill="6EA9BF" w:themeFill="accent2"/>
      </w:tcPr>
    </w:tblStylePr>
    <w:tblStylePr w:type="lastRow">
      <w:pPr>
        <w:spacing w:before="0" w:after="0" w:line="240" w:lineRule="auto"/>
      </w:pPr>
      <w:rPr>
        <w:b/>
        <w:bCs/>
      </w:rPr>
      <w:tblPr/>
      <w:tcPr>
        <w:tcBorders>
          <w:top w:val="double" w:sz="6" w:space="0" w:color="6EA9BF" w:themeColor="accent2"/>
          <w:left w:val="single" w:sz="8" w:space="0" w:color="6EA9BF" w:themeColor="accent2"/>
          <w:bottom w:val="single" w:sz="8" w:space="0" w:color="6EA9BF" w:themeColor="accent2"/>
          <w:right w:val="single" w:sz="8" w:space="0" w:color="6EA9BF" w:themeColor="accent2"/>
        </w:tcBorders>
      </w:tcPr>
    </w:tblStylePr>
    <w:tblStylePr w:type="firstCol">
      <w:rPr>
        <w:b/>
        <w:bCs/>
      </w:rPr>
    </w:tblStylePr>
    <w:tblStylePr w:type="lastCol">
      <w:rPr>
        <w:b/>
        <w:bCs/>
      </w:rPr>
    </w:tblStylePr>
    <w:tblStylePr w:type="band1Vert">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tcPr>
    </w:tblStylePr>
    <w:tblStylePr w:type="band1Horz">
      <w:tblPr/>
      <w:tcPr>
        <w:tcBorders>
          <w:top w:val="single" w:sz="8" w:space="0" w:color="6EA9BF" w:themeColor="accent2"/>
          <w:left w:val="single" w:sz="8" w:space="0" w:color="6EA9BF" w:themeColor="accent2"/>
          <w:bottom w:val="single" w:sz="8" w:space="0" w:color="6EA9BF" w:themeColor="accent2"/>
          <w:right w:val="single" w:sz="8" w:space="0" w:color="6EA9BF" w:themeColor="accent2"/>
        </w:tcBorders>
      </w:tcPr>
    </w:tblStylePr>
  </w:style>
  <w:style w:type="table" w:styleId="LightList-Accent3">
    <w:name w:val="Light List Accent 3"/>
    <w:basedOn w:val="TableNormal"/>
    <w:uiPriority w:val="61"/>
    <w:rsid w:val="00DA0EFE"/>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tblBorders>
    </w:tblPr>
    <w:tblStylePr w:type="firstRow">
      <w:pPr>
        <w:spacing w:before="0" w:after="0" w:line="240" w:lineRule="auto"/>
      </w:pPr>
      <w:rPr>
        <w:b/>
        <w:bCs/>
        <w:color w:val="FFFFFF" w:themeColor="background1"/>
      </w:rPr>
      <w:tblPr/>
      <w:tcPr>
        <w:shd w:val="clear" w:color="auto" w:fill="C5DCE7" w:themeFill="accent3"/>
      </w:tcPr>
    </w:tblStylePr>
    <w:tblStylePr w:type="lastRow">
      <w:pPr>
        <w:spacing w:before="0" w:after="0" w:line="240" w:lineRule="auto"/>
      </w:pPr>
      <w:rPr>
        <w:b/>
        <w:bCs/>
      </w:rPr>
      <w:tblPr/>
      <w:tcPr>
        <w:tcBorders>
          <w:top w:val="double" w:sz="6" w:space="0" w:color="C5DCE7" w:themeColor="accent3"/>
          <w:left w:val="single" w:sz="8" w:space="0" w:color="C5DCE7" w:themeColor="accent3"/>
          <w:bottom w:val="single" w:sz="8" w:space="0" w:color="C5DCE7" w:themeColor="accent3"/>
          <w:right w:val="single" w:sz="8" w:space="0" w:color="C5DCE7" w:themeColor="accent3"/>
        </w:tcBorders>
      </w:tcPr>
    </w:tblStylePr>
    <w:tblStylePr w:type="firstCol">
      <w:rPr>
        <w:b/>
        <w:bCs/>
      </w:rPr>
    </w:tblStylePr>
    <w:tblStylePr w:type="lastCol">
      <w:rPr>
        <w:b/>
        <w:bCs/>
      </w:rPr>
    </w:tblStylePr>
    <w:tblStylePr w:type="band1Vert">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tcPr>
    </w:tblStylePr>
    <w:tblStylePr w:type="band1Horz">
      <w:tblPr/>
      <w:tcPr>
        <w:tcBorders>
          <w:top w:val="single" w:sz="8" w:space="0" w:color="C5DCE7" w:themeColor="accent3"/>
          <w:left w:val="single" w:sz="8" w:space="0" w:color="C5DCE7" w:themeColor="accent3"/>
          <w:bottom w:val="single" w:sz="8" w:space="0" w:color="C5DCE7" w:themeColor="accent3"/>
          <w:right w:val="single" w:sz="8" w:space="0" w:color="C5DCE7" w:themeColor="accent3"/>
        </w:tcBorders>
      </w:tcPr>
    </w:tblStylePr>
  </w:style>
  <w:style w:type="table" w:styleId="LightList-Accent4">
    <w:name w:val="Light List Accent 4"/>
    <w:basedOn w:val="TableNormal"/>
    <w:uiPriority w:val="61"/>
    <w:rsid w:val="00DA0EFE"/>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tblBorders>
    </w:tblPr>
    <w:tblStylePr w:type="firstRow">
      <w:pPr>
        <w:spacing w:before="0" w:after="0" w:line="240" w:lineRule="auto"/>
      </w:pPr>
      <w:rPr>
        <w:b/>
        <w:bCs/>
        <w:color w:val="FFFFFF" w:themeColor="background1"/>
      </w:rPr>
      <w:tblPr/>
      <w:tcPr>
        <w:shd w:val="clear" w:color="auto" w:fill="8C949E" w:themeFill="accent4"/>
      </w:tcPr>
    </w:tblStylePr>
    <w:tblStylePr w:type="lastRow">
      <w:pPr>
        <w:spacing w:before="0" w:after="0" w:line="240" w:lineRule="auto"/>
      </w:pPr>
      <w:rPr>
        <w:b/>
        <w:bCs/>
      </w:rPr>
      <w:tblPr/>
      <w:tcPr>
        <w:tcBorders>
          <w:top w:val="double" w:sz="6" w:space="0" w:color="8C949E" w:themeColor="accent4"/>
          <w:left w:val="single" w:sz="8" w:space="0" w:color="8C949E" w:themeColor="accent4"/>
          <w:bottom w:val="single" w:sz="8" w:space="0" w:color="8C949E" w:themeColor="accent4"/>
          <w:right w:val="single" w:sz="8" w:space="0" w:color="8C949E" w:themeColor="accent4"/>
        </w:tcBorders>
      </w:tcPr>
    </w:tblStylePr>
    <w:tblStylePr w:type="firstCol">
      <w:rPr>
        <w:b/>
        <w:bCs/>
      </w:rPr>
    </w:tblStylePr>
    <w:tblStylePr w:type="lastCol">
      <w:rPr>
        <w:b/>
        <w:bCs/>
      </w:rPr>
    </w:tblStylePr>
    <w:tblStylePr w:type="band1Vert">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tcPr>
    </w:tblStylePr>
    <w:tblStylePr w:type="band1Horz">
      <w:tblPr/>
      <w:tcPr>
        <w:tcBorders>
          <w:top w:val="single" w:sz="8" w:space="0" w:color="8C949E" w:themeColor="accent4"/>
          <w:left w:val="single" w:sz="8" w:space="0" w:color="8C949E" w:themeColor="accent4"/>
          <w:bottom w:val="single" w:sz="8" w:space="0" w:color="8C949E" w:themeColor="accent4"/>
          <w:right w:val="single" w:sz="8" w:space="0" w:color="8C949E" w:themeColor="accent4"/>
        </w:tcBorders>
      </w:tcPr>
    </w:tblStylePr>
  </w:style>
  <w:style w:type="table" w:styleId="LightList-Accent5">
    <w:name w:val="Light List Accent 5"/>
    <w:basedOn w:val="TableNormal"/>
    <w:uiPriority w:val="61"/>
    <w:rsid w:val="00DA0EFE"/>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tblBorders>
    </w:tblPr>
    <w:tblStylePr w:type="firstRow">
      <w:pPr>
        <w:spacing w:before="0" w:after="0" w:line="240" w:lineRule="auto"/>
      </w:pPr>
      <w:rPr>
        <w:b/>
        <w:bCs/>
        <w:color w:val="FFFFFF" w:themeColor="background1"/>
      </w:rPr>
      <w:tblPr/>
      <w:tcPr>
        <w:shd w:val="clear" w:color="auto" w:fill="C52B1A" w:themeFill="accent5"/>
      </w:tcPr>
    </w:tblStylePr>
    <w:tblStylePr w:type="lastRow">
      <w:pPr>
        <w:spacing w:before="0" w:after="0" w:line="240" w:lineRule="auto"/>
      </w:pPr>
      <w:rPr>
        <w:b/>
        <w:bCs/>
      </w:rPr>
      <w:tblPr/>
      <w:tcPr>
        <w:tcBorders>
          <w:top w:val="double" w:sz="6" w:space="0" w:color="C52B1A" w:themeColor="accent5"/>
          <w:left w:val="single" w:sz="8" w:space="0" w:color="C52B1A" w:themeColor="accent5"/>
          <w:bottom w:val="single" w:sz="8" w:space="0" w:color="C52B1A" w:themeColor="accent5"/>
          <w:right w:val="single" w:sz="8" w:space="0" w:color="C52B1A" w:themeColor="accent5"/>
        </w:tcBorders>
      </w:tcPr>
    </w:tblStylePr>
    <w:tblStylePr w:type="firstCol">
      <w:rPr>
        <w:b/>
        <w:bCs/>
      </w:rPr>
    </w:tblStylePr>
    <w:tblStylePr w:type="lastCol">
      <w:rPr>
        <w:b/>
        <w:bCs/>
      </w:rPr>
    </w:tblStylePr>
    <w:tblStylePr w:type="band1Vert">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tcPr>
    </w:tblStylePr>
    <w:tblStylePr w:type="band1Horz">
      <w:tblPr/>
      <w:tcPr>
        <w:tcBorders>
          <w:top w:val="single" w:sz="8" w:space="0" w:color="C52B1A" w:themeColor="accent5"/>
          <w:left w:val="single" w:sz="8" w:space="0" w:color="C52B1A" w:themeColor="accent5"/>
          <w:bottom w:val="single" w:sz="8" w:space="0" w:color="C52B1A" w:themeColor="accent5"/>
          <w:right w:val="single" w:sz="8" w:space="0" w:color="C52B1A" w:themeColor="accent5"/>
        </w:tcBorders>
      </w:tcPr>
    </w:tblStylePr>
  </w:style>
  <w:style w:type="table" w:styleId="LightList-Accent6">
    <w:name w:val="Light List Accent 6"/>
    <w:basedOn w:val="TableNormal"/>
    <w:uiPriority w:val="61"/>
    <w:rsid w:val="00DA0EFE"/>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tblBorders>
    </w:tblPr>
    <w:tblStylePr w:type="firstRow">
      <w:pPr>
        <w:spacing w:before="0" w:after="0" w:line="240" w:lineRule="auto"/>
      </w:pPr>
      <w:rPr>
        <w:b/>
        <w:bCs/>
        <w:color w:val="FFFFFF" w:themeColor="background1"/>
      </w:rPr>
      <w:tblPr/>
      <w:tcPr>
        <w:shd w:val="clear" w:color="auto" w:fill="DB0B51" w:themeFill="accent6"/>
      </w:tcPr>
    </w:tblStylePr>
    <w:tblStylePr w:type="lastRow">
      <w:pPr>
        <w:spacing w:before="0" w:after="0" w:line="240" w:lineRule="auto"/>
      </w:pPr>
      <w:rPr>
        <w:b/>
        <w:bCs/>
      </w:rPr>
      <w:tblPr/>
      <w:tcPr>
        <w:tcBorders>
          <w:top w:val="double" w:sz="6" w:space="0" w:color="DB0B51" w:themeColor="accent6"/>
          <w:left w:val="single" w:sz="8" w:space="0" w:color="DB0B51" w:themeColor="accent6"/>
          <w:bottom w:val="single" w:sz="8" w:space="0" w:color="DB0B51" w:themeColor="accent6"/>
          <w:right w:val="single" w:sz="8" w:space="0" w:color="DB0B51" w:themeColor="accent6"/>
        </w:tcBorders>
      </w:tcPr>
    </w:tblStylePr>
    <w:tblStylePr w:type="firstCol">
      <w:rPr>
        <w:b/>
        <w:bCs/>
      </w:rPr>
    </w:tblStylePr>
    <w:tblStylePr w:type="lastCol">
      <w:rPr>
        <w:b/>
        <w:bCs/>
      </w:rPr>
    </w:tblStylePr>
    <w:tblStylePr w:type="band1Vert">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tcPr>
    </w:tblStylePr>
    <w:tblStylePr w:type="band1Horz">
      <w:tblPr/>
      <w:tcPr>
        <w:tcBorders>
          <w:top w:val="single" w:sz="8" w:space="0" w:color="DB0B51" w:themeColor="accent6"/>
          <w:left w:val="single" w:sz="8" w:space="0" w:color="DB0B51" w:themeColor="accent6"/>
          <w:bottom w:val="single" w:sz="8" w:space="0" w:color="DB0B51" w:themeColor="accent6"/>
          <w:right w:val="single" w:sz="8" w:space="0" w:color="DB0B51" w:themeColor="accent6"/>
        </w:tcBorders>
      </w:tcPr>
    </w:tblStylePr>
  </w:style>
  <w:style w:type="table" w:customStyle="1" w:styleId="LightShading1">
    <w:name w:val="Light Shading1"/>
    <w:basedOn w:val="TableNormal"/>
    <w:uiPriority w:val="60"/>
    <w:rsid w:val="00DA0E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A0EFE"/>
    <w:rPr>
      <w:color w:val="004C6A" w:themeColor="accent1" w:themeShade="BF"/>
    </w:rPr>
    <w:tblPr>
      <w:tblStyleRowBandSize w:val="1"/>
      <w:tblStyleColBandSize w:val="1"/>
      <w:tblBorders>
        <w:top w:val="single" w:sz="8" w:space="0" w:color="00668E" w:themeColor="accent1"/>
        <w:bottom w:val="single" w:sz="8" w:space="0" w:color="00668E" w:themeColor="accent1"/>
      </w:tblBorders>
    </w:tblPr>
    <w:tblStylePr w:type="fir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la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5FF" w:themeFill="accent1" w:themeFillTint="3F"/>
      </w:tcPr>
    </w:tblStylePr>
    <w:tblStylePr w:type="band1Horz">
      <w:tblPr/>
      <w:tcPr>
        <w:tcBorders>
          <w:left w:val="nil"/>
          <w:right w:val="nil"/>
          <w:insideH w:val="nil"/>
          <w:insideV w:val="nil"/>
        </w:tcBorders>
        <w:shd w:val="clear" w:color="auto" w:fill="A4E5FF" w:themeFill="accent1" w:themeFillTint="3F"/>
      </w:tcPr>
    </w:tblStylePr>
  </w:style>
  <w:style w:type="table" w:styleId="LightShading-Accent2">
    <w:name w:val="Light Shading Accent 2"/>
    <w:basedOn w:val="TableNormal"/>
    <w:uiPriority w:val="60"/>
    <w:rsid w:val="00DA0EFE"/>
    <w:rPr>
      <w:color w:val="45849C" w:themeColor="accent2" w:themeShade="BF"/>
    </w:rPr>
    <w:tblPr>
      <w:tblStyleRowBandSize w:val="1"/>
      <w:tblStyleColBandSize w:val="1"/>
      <w:tblBorders>
        <w:top w:val="single" w:sz="8" w:space="0" w:color="6EA9BF" w:themeColor="accent2"/>
        <w:bottom w:val="single" w:sz="8" w:space="0" w:color="6EA9BF" w:themeColor="accent2"/>
      </w:tblBorders>
    </w:tblPr>
    <w:tblStylePr w:type="firstRow">
      <w:pPr>
        <w:spacing w:before="0" w:after="0" w:line="240" w:lineRule="auto"/>
      </w:pPr>
      <w:rPr>
        <w:b/>
        <w:bCs/>
      </w:rPr>
      <w:tblPr/>
      <w:tcPr>
        <w:tcBorders>
          <w:top w:val="single" w:sz="8" w:space="0" w:color="6EA9BF" w:themeColor="accent2"/>
          <w:left w:val="nil"/>
          <w:bottom w:val="single" w:sz="8" w:space="0" w:color="6EA9BF" w:themeColor="accent2"/>
          <w:right w:val="nil"/>
          <w:insideH w:val="nil"/>
          <w:insideV w:val="nil"/>
        </w:tcBorders>
      </w:tcPr>
    </w:tblStylePr>
    <w:tblStylePr w:type="lastRow">
      <w:pPr>
        <w:spacing w:before="0" w:after="0" w:line="240" w:lineRule="auto"/>
      </w:pPr>
      <w:rPr>
        <w:b/>
        <w:bCs/>
      </w:rPr>
      <w:tblPr/>
      <w:tcPr>
        <w:tcBorders>
          <w:top w:val="single" w:sz="8" w:space="0" w:color="6EA9BF" w:themeColor="accent2"/>
          <w:left w:val="nil"/>
          <w:bottom w:val="single" w:sz="8" w:space="0" w:color="6EA9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9EF" w:themeFill="accent2" w:themeFillTint="3F"/>
      </w:tcPr>
    </w:tblStylePr>
    <w:tblStylePr w:type="band1Horz">
      <w:tblPr/>
      <w:tcPr>
        <w:tcBorders>
          <w:left w:val="nil"/>
          <w:right w:val="nil"/>
          <w:insideH w:val="nil"/>
          <w:insideV w:val="nil"/>
        </w:tcBorders>
        <w:shd w:val="clear" w:color="auto" w:fill="DBE9EF" w:themeFill="accent2" w:themeFillTint="3F"/>
      </w:tcPr>
    </w:tblStylePr>
  </w:style>
  <w:style w:type="table" w:styleId="LightShading-Accent3">
    <w:name w:val="Light Shading Accent 3"/>
    <w:basedOn w:val="TableNormal"/>
    <w:uiPriority w:val="60"/>
    <w:rsid w:val="00DA0EFE"/>
    <w:rPr>
      <w:color w:val="78ADC7" w:themeColor="accent3" w:themeShade="BF"/>
    </w:rPr>
    <w:tblPr>
      <w:tblStyleRowBandSize w:val="1"/>
      <w:tblStyleColBandSize w:val="1"/>
      <w:tblBorders>
        <w:top w:val="single" w:sz="8" w:space="0" w:color="C5DCE7" w:themeColor="accent3"/>
        <w:bottom w:val="single" w:sz="8" w:space="0" w:color="C5DCE7" w:themeColor="accent3"/>
      </w:tblBorders>
    </w:tblPr>
    <w:tblStylePr w:type="firstRow">
      <w:pPr>
        <w:spacing w:before="0" w:after="0" w:line="240" w:lineRule="auto"/>
      </w:pPr>
      <w:rPr>
        <w:b/>
        <w:bCs/>
      </w:rPr>
      <w:tblPr/>
      <w:tcPr>
        <w:tcBorders>
          <w:top w:val="single" w:sz="8" w:space="0" w:color="C5DCE7" w:themeColor="accent3"/>
          <w:left w:val="nil"/>
          <w:bottom w:val="single" w:sz="8" w:space="0" w:color="C5DCE7" w:themeColor="accent3"/>
          <w:right w:val="nil"/>
          <w:insideH w:val="nil"/>
          <w:insideV w:val="nil"/>
        </w:tcBorders>
      </w:tcPr>
    </w:tblStylePr>
    <w:tblStylePr w:type="lastRow">
      <w:pPr>
        <w:spacing w:before="0" w:after="0" w:line="240" w:lineRule="auto"/>
      </w:pPr>
      <w:rPr>
        <w:b/>
        <w:bCs/>
      </w:rPr>
      <w:tblPr/>
      <w:tcPr>
        <w:tcBorders>
          <w:top w:val="single" w:sz="8" w:space="0" w:color="C5DCE7" w:themeColor="accent3"/>
          <w:left w:val="nil"/>
          <w:bottom w:val="single" w:sz="8" w:space="0" w:color="C5DC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6F9" w:themeFill="accent3" w:themeFillTint="3F"/>
      </w:tcPr>
    </w:tblStylePr>
    <w:tblStylePr w:type="band1Horz">
      <w:tblPr/>
      <w:tcPr>
        <w:tcBorders>
          <w:left w:val="nil"/>
          <w:right w:val="nil"/>
          <w:insideH w:val="nil"/>
          <w:insideV w:val="nil"/>
        </w:tcBorders>
        <w:shd w:val="clear" w:color="auto" w:fill="F0F6F9" w:themeFill="accent3" w:themeFillTint="3F"/>
      </w:tcPr>
    </w:tblStylePr>
  </w:style>
  <w:style w:type="table" w:styleId="LightShading-Accent4">
    <w:name w:val="Light Shading Accent 4"/>
    <w:basedOn w:val="TableNormal"/>
    <w:uiPriority w:val="60"/>
    <w:rsid w:val="00DA0EFE"/>
    <w:rPr>
      <w:color w:val="666E78" w:themeColor="accent4" w:themeShade="BF"/>
    </w:rPr>
    <w:tblPr>
      <w:tblStyleRowBandSize w:val="1"/>
      <w:tblStyleColBandSize w:val="1"/>
      <w:tblBorders>
        <w:top w:val="single" w:sz="8" w:space="0" w:color="8C949E" w:themeColor="accent4"/>
        <w:bottom w:val="single" w:sz="8" w:space="0" w:color="8C949E" w:themeColor="accent4"/>
      </w:tblBorders>
    </w:tblPr>
    <w:tblStylePr w:type="firstRow">
      <w:pPr>
        <w:spacing w:before="0" w:after="0" w:line="240" w:lineRule="auto"/>
      </w:pPr>
      <w:rPr>
        <w:b/>
        <w:bCs/>
      </w:rPr>
      <w:tblPr/>
      <w:tcPr>
        <w:tcBorders>
          <w:top w:val="single" w:sz="8" w:space="0" w:color="8C949E" w:themeColor="accent4"/>
          <w:left w:val="nil"/>
          <w:bottom w:val="single" w:sz="8" w:space="0" w:color="8C949E" w:themeColor="accent4"/>
          <w:right w:val="nil"/>
          <w:insideH w:val="nil"/>
          <w:insideV w:val="nil"/>
        </w:tcBorders>
      </w:tcPr>
    </w:tblStylePr>
    <w:tblStylePr w:type="lastRow">
      <w:pPr>
        <w:spacing w:before="0" w:after="0" w:line="240" w:lineRule="auto"/>
      </w:pPr>
      <w:rPr>
        <w:b/>
        <w:bCs/>
      </w:rPr>
      <w:tblPr/>
      <w:tcPr>
        <w:tcBorders>
          <w:top w:val="single" w:sz="8" w:space="0" w:color="8C949E" w:themeColor="accent4"/>
          <w:left w:val="nil"/>
          <w:bottom w:val="single" w:sz="8" w:space="0" w:color="8C949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4E7" w:themeFill="accent4" w:themeFillTint="3F"/>
      </w:tcPr>
    </w:tblStylePr>
    <w:tblStylePr w:type="band1Horz">
      <w:tblPr/>
      <w:tcPr>
        <w:tcBorders>
          <w:left w:val="nil"/>
          <w:right w:val="nil"/>
          <w:insideH w:val="nil"/>
          <w:insideV w:val="nil"/>
        </w:tcBorders>
        <w:shd w:val="clear" w:color="auto" w:fill="E2E4E7" w:themeFill="accent4" w:themeFillTint="3F"/>
      </w:tcPr>
    </w:tblStylePr>
  </w:style>
  <w:style w:type="table" w:styleId="LightShading-Accent5">
    <w:name w:val="Light Shading Accent 5"/>
    <w:basedOn w:val="TableNormal"/>
    <w:uiPriority w:val="60"/>
    <w:rsid w:val="00DA0EFE"/>
    <w:rPr>
      <w:color w:val="932013" w:themeColor="accent5" w:themeShade="BF"/>
    </w:rPr>
    <w:tblPr>
      <w:tblStyleRowBandSize w:val="1"/>
      <w:tblStyleColBandSize w:val="1"/>
      <w:tblBorders>
        <w:top w:val="single" w:sz="8" w:space="0" w:color="C52B1A" w:themeColor="accent5"/>
        <w:bottom w:val="single" w:sz="8" w:space="0" w:color="C52B1A" w:themeColor="accent5"/>
      </w:tblBorders>
    </w:tblPr>
    <w:tblStylePr w:type="firstRow">
      <w:pPr>
        <w:spacing w:before="0" w:after="0" w:line="240" w:lineRule="auto"/>
      </w:pPr>
      <w:rPr>
        <w:b/>
        <w:bCs/>
      </w:rPr>
      <w:tblPr/>
      <w:tcPr>
        <w:tcBorders>
          <w:top w:val="single" w:sz="8" w:space="0" w:color="C52B1A" w:themeColor="accent5"/>
          <w:left w:val="nil"/>
          <w:bottom w:val="single" w:sz="8" w:space="0" w:color="C52B1A" w:themeColor="accent5"/>
          <w:right w:val="nil"/>
          <w:insideH w:val="nil"/>
          <w:insideV w:val="nil"/>
        </w:tcBorders>
      </w:tcPr>
    </w:tblStylePr>
    <w:tblStylePr w:type="lastRow">
      <w:pPr>
        <w:spacing w:before="0" w:after="0" w:line="240" w:lineRule="auto"/>
      </w:pPr>
      <w:rPr>
        <w:b/>
        <w:bCs/>
      </w:rPr>
      <w:tblPr/>
      <w:tcPr>
        <w:tcBorders>
          <w:top w:val="single" w:sz="8" w:space="0" w:color="C52B1A" w:themeColor="accent5"/>
          <w:left w:val="nil"/>
          <w:bottom w:val="single" w:sz="8" w:space="0" w:color="C52B1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5C0" w:themeFill="accent5" w:themeFillTint="3F"/>
      </w:tcPr>
    </w:tblStylePr>
    <w:tblStylePr w:type="band1Horz">
      <w:tblPr/>
      <w:tcPr>
        <w:tcBorders>
          <w:left w:val="nil"/>
          <w:right w:val="nil"/>
          <w:insideH w:val="nil"/>
          <w:insideV w:val="nil"/>
        </w:tcBorders>
        <w:shd w:val="clear" w:color="auto" w:fill="F6C5C0" w:themeFill="accent5" w:themeFillTint="3F"/>
      </w:tcPr>
    </w:tblStylePr>
  </w:style>
  <w:style w:type="table" w:styleId="LightShading-Accent6">
    <w:name w:val="Light Shading Accent 6"/>
    <w:basedOn w:val="TableNormal"/>
    <w:uiPriority w:val="60"/>
    <w:rsid w:val="00DA0EFE"/>
    <w:rPr>
      <w:color w:val="A3083C" w:themeColor="accent6" w:themeShade="BF"/>
    </w:rPr>
    <w:tblPr>
      <w:tblStyleRowBandSize w:val="1"/>
      <w:tblStyleColBandSize w:val="1"/>
      <w:tblBorders>
        <w:top w:val="single" w:sz="8" w:space="0" w:color="DB0B51" w:themeColor="accent6"/>
        <w:bottom w:val="single" w:sz="8" w:space="0" w:color="DB0B51" w:themeColor="accent6"/>
      </w:tblBorders>
    </w:tblPr>
    <w:tblStylePr w:type="firstRow">
      <w:pPr>
        <w:spacing w:before="0" w:after="0" w:line="240" w:lineRule="auto"/>
      </w:pPr>
      <w:rPr>
        <w:b/>
        <w:bCs/>
      </w:rPr>
      <w:tblPr/>
      <w:tcPr>
        <w:tcBorders>
          <w:top w:val="single" w:sz="8" w:space="0" w:color="DB0B51" w:themeColor="accent6"/>
          <w:left w:val="nil"/>
          <w:bottom w:val="single" w:sz="8" w:space="0" w:color="DB0B51" w:themeColor="accent6"/>
          <w:right w:val="nil"/>
          <w:insideH w:val="nil"/>
          <w:insideV w:val="nil"/>
        </w:tcBorders>
      </w:tcPr>
    </w:tblStylePr>
    <w:tblStylePr w:type="lastRow">
      <w:pPr>
        <w:spacing w:before="0" w:after="0" w:line="240" w:lineRule="auto"/>
      </w:pPr>
      <w:rPr>
        <w:b/>
        <w:bCs/>
      </w:rPr>
      <w:tblPr/>
      <w:tcPr>
        <w:tcBorders>
          <w:top w:val="single" w:sz="8" w:space="0" w:color="DB0B51" w:themeColor="accent6"/>
          <w:left w:val="nil"/>
          <w:bottom w:val="single" w:sz="8" w:space="0" w:color="DB0B5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BCD1" w:themeFill="accent6" w:themeFillTint="3F"/>
      </w:tcPr>
    </w:tblStylePr>
    <w:tblStylePr w:type="band1Horz">
      <w:tblPr/>
      <w:tcPr>
        <w:tcBorders>
          <w:left w:val="nil"/>
          <w:right w:val="nil"/>
          <w:insideH w:val="nil"/>
          <w:insideV w:val="nil"/>
        </w:tcBorders>
        <w:shd w:val="clear" w:color="auto" w:fill="FBBCD1" w:themeFill="accent6" w:themeFillTint="3F"/>
      </w:tcPr>
    </w:tblStylePr>
  </w:style>
  <w:style w:type="character" w:styleId="LineNumber">
    <w:name w:val="line number"/>
    <w:basedOn w:val="DefaultParagraphFont"/>
    <w:uiPriority w:val="29"/>
    <w:semiHidden/>
    <w:rsid w:val="00DA0EFE"/>
  </w:style>
  <w:style w:type="paragraph" w:styleId="List4">
    <w:name w:val="List 4"/>
    <w:basedOn w:val="Normal"/>
    <w:uiPriority w:val="29"/>
    <w:semiHidden/>
    <w:rsid w:val="00DA0EFE"/>
    <w:pPr>
      <w:ind w:left="1132" w:hanging="283"/>
      <w:contextualSpacing/>
    </w:pPr>
  </w:style>
  <w:style w:type="paragraph" w:styleId="List5">
    <w:name w:val="List 5"/>
    <w:basedOn w:val="Normal"/>
    <w:uiPriority w:val="29"/>
    <w:semiHidden/>
    <w:rsid w:val="00DA0EFE"/>
    <w:pPr>
      <w:ind w:left="1415" w:hanging="283"/>
      <w:contextualSpacing/>
    </w:pPr>
  </w:style>
  <w:style w:type="paragraph" w:styleId="ListBullet">
    <w:name w:val="List Bullet"/>
    <w:basedOn w:val="Normal"/>
    <w:uiPriority w:val="29"/>
    <w:semiHidden/>
    <w:rsid w:val="00DA0EFE"/>
    <w:pPr>
      <w:numPr>
        <w:numId w:val="6"/>
      </w:numPr>
      <w:contextualSpacing/>
    </w:pPr>
  </w:style>
  <w:style w:type="paragraph" w:styleId="ListBullet2">
    <w:name w:val="List Bullet 2"/>
    <w:basedOn w:val="Normal"/>
    <w:uiPriority w:val="29"/>
    <w:semiHidden/>
    <w:rsid w:val="00DA0EFE"/>
    <w:pPr>
      <w:numPr>
        <w:numId w:val="7"/>
      </w:numPr>
      <w:contextualSpacing/>
    </w:pPr>
  </w:style>
  <w:style w:type="paragraph" w:styleId="ListBullet3">
    <w:name w:val="List Bullet 3"/>
    <w:basedOn w:val="Normal"/>
    <w:uiPriority w:val="29"/>
    <w:semiHidden/>
    <w:rsid w:val="00DA0EFE"/>
    <w:pPr>
      <w:numPr>
        <w:numId w:val="8"/>
      </w:numPr>
      <w:contextualSpacing/>
    </w:pPr>
  </w:style>
  <w:style w:type="paragraph" w:styleId="ListBullet4">
    <w:name w:val="List Bullet 4"/>
    <w:basedOn w:val="Normal"/>
    <w:uiPriority w:val="29"/>
    <w:semiHidden/>
    <w:rsid w:val="00DA0EFE"/>
    <w:pPr>
      <w:numPr>
        <w:numId w:val="9"/>
      </w:numPr>
      <w:contextualSpacing/>
    </w:pPr>
  </w:style>
  <w:style w:type="paragraph" w:styleId="ListBullet5">
    <w:name w:val="List Bullet 5"/>
    <w:basedOn w:val="Normal"/>
    <w:uiPriority w:val="29"/>
    <w:semiHidden/>
    <w:rsid w:val="00DA0EFE"/>
    <w:pPr>
      <w:numPr>
        <w:numId w:val="10"/>
      </w:numPr>
      <w:contextualSpacing/>
    </w:pPr>
  </w:style>
  <w:style w:type="paragraph" w:styleId="ListContinue">
    <w:name w:val="List Continue"/>
    <w:basedOn w:val="Normal"/>
    <w:uiPriority w:val="29"/>
    <w:semiHidden/>
    <w:rsid w:val="00DA0EFE"/>
    <w:pPr>
      <w:spacing w:after="120"/>
      <w:ind w:left="283"/>
      <w:contextualSpacing/>
    </w:pPr>
  </w:style>
  <w:style w:type="paragraph" w:styleId="ListContinue2">
    <w:name w:val="List Continue 2"/>
    <w:basedOn w:val="Normal"/>
    <w:uiPriority w:val="29"/>
    <w:semiHidden/>
    <w:rsid w:val="00DA0EFE"/>
    <w:pPr>
      <w:spacing w:after="120"/>
      <w:ind w:left="566"/>
      <w:contextualSpacing/>
    </w:pPr>
  </w:style>
  <w:style w:type="paragraph" w:styleId="ListContinue3">
    <w:name w:val="List Continue 3"/>
    <w:basedOn w:val="Normal"/>
    <w:uiPriority w:val="29"/>
    <w:semiHidden/>
    <w:rsid w:val="00DA0EFE"/>
    <w:pPr>
      <w:spacing w:after="120"/>
      <w:ind w:left="849"/>
      <w:contextualSpacing/>
    </w:pPr>
  </w:style>
  <w:style w:type="paragraph" w:styleId="ListContinue4">
    <w:name w:val="List Continue 4"/>
    <w:basedOn w:val="Normal"/>
    <w:uiPriority w:val="29"/>
    <w:semiHidden/>
    <w:rsid w:val="00DA0EFE"/>
    <w:pPr>
      <w:spacing w:after="120"/>
      <w:ind w:left="1132"/>
      <w:contextualSpacing/>
    </w:pPr>
  </w:style>
  <w:style w:type="paragraph" w:styleId="ListContinue5">
    <w:name w:val="List Continue 5"/>
    <w:basedOn w:val="Normal"/>
    <w:uiPriority w:val="29"/>
    <w:semiHidden/>
    <w:rsid w:val="00DA0EFE"/>
    <w:pPr>
      <w:spacing w:after="120"/>
      <w:ind w:left="1415"/>
      <w:contextualSpacing/>
    </w:pPr>
  </w:style>
  <w:style w:type="paragraph" w:styleId="ListNumber">
    <w:name w:val="List Number"/>
    <w:basedOn w:val="Normal"/>
    <w:uiPriority w:val="29"/>
    <w:semiHidden/>
    <w:rsid w:val="00DA0EFE"/>
    <w:pPr>
      <w:numPr>
        <w:numId w:val="1"/>
      </w:numPr>
      <w:contextualSpacing/>
    </w:pPr>
  </w:style>
  <w:style w:type="paragraph" w:styleId="ListNumber2">
    <w:name w:val="List Number 2"/>
    <w:basedOn w:val="Normal"/>
    <w:uiPriority w:val="29"/>
    <w:semiHidden/>
    <w:rsid w:val="00DA0EFE"/>
    <w:pPr>
      <w:numPr>
        <w:numId w:val="2"/>
      </w:numPr>
      <w:contextualSpacing/>
    </w:pPr>
  </w:style>
  <w:style w:type="paragraph" w:styleId="ListNumber3">
    <w:name w:val="List Number 3"/>
    <w:basedOn w:val="Normal"/>
    <w:uiPriority w:val="29"/>
    <w:semiHidden/>
    <w:rsid w:val="00DA0EFE"/>
    <w:pPr>
      <w:numPr>
        <w:numId w:val="3"/>
      </w:numPr>
      <w:contextualSpacing/>
    </w:pPr>
  </w:style>
  <w:style w:type="paragraph" w:styleId="ListNumber4">
    <w:name w:val="List Number 4"/>
    <w:basedOn w:val="Normal"/>
    <w:uiPriority w:val="29"/>
    <w:semiHidden/>
    <w:rsid w:val="00DA0EFE"/>
    <w:pPr>
      <w:numPr>
        <w:numId w:val="4"/>
      </w:numPr>
      <w:contextualSpacing/>
    </w:pPr>
  </w:style>
  <w:style w:type="paragraph" w:styleId="ListNumber5">
    <w:name w:val="List Number 5"/>
    <w:basedOn w:val="Normal"/>
    <w:uiPriority w:val="29"/>
    <w:semiHidden/>
    <w:rsid w:val="00DA0EFE"/>
    <w:pPr>
      <w:numPr>
        <w:numId w:val="5"/>
      </w:numPr>
      <w:contextualSpacing/>
    </w:pPr>
  </w:style>
  <w:style w:type="paragraph" w:styleId="ListParagraph">
    <w:name w:val="List Paragraph"/>
    <w:basedOn w:val="Normal"/>
    <w:uiPriority w:val="29"/>
    <w:rsid w:val="00DA0EFE"/>
    <w:pPr>
      <w:ind w:left="720"/>
      <w:contextualSpacing/>
    </w:pPr>
  </w:style>
  <w:style w:type="paragraph" w:styleId="MacroText">
    <w:name w:val="macro"/>
    <w:link w:val="MacroTextChar"/>
    <w:uiPriority w:val="29"/>
    <w:semiHidden/>
    <w:rsid w:val="00DA0EF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29"/>
    <w:semiHidden/>
    <w:rsid w:val="00DA0EFE"/>
    <w:rPr>
      <w:rFonts w:ascii="Consolas" w:hAnsi="Consolas" w:cs="Consolas"/>
    </w:rPr>
  </w:style>
  <w:style w:type="table" w:customStyle="1" w:styleId="MediumGrid11">
    <w:name w:val="Medium Grid 11"/>
    <w:basedOn w:val="TableNormal"/>
    <w:uiPriority w:val="67"/>
    <w:rsid w:val="00DA0E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A0EFE"/>
    <w:tblPr>
      <w:tblStyleRowBandSize w:val="1"/>
      <w:tblStyleColBandSize w:val="1"/>
      <w:tbl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single" w:sz="8" w:space="0" w:color="00A8EA" w:themeColor="accent1" w:themeTint="BF"/>
        <w:insideV w:val="single" w:sz="8" w:space="0" w:color="00A8EA" w:themeColor="accent1" w:themeTint="BF"/>
      </w:tblBorders>
    </w:tblPr>
    <w:tcPr>
      <w:shd w:val="clear" w:color="auto" w:fill="A4E5FF" w:themeFill="accent1" w:themeFillTint="3F"/>
    </w:tcPr>
    <w:tblStylePr w:type="firstRow">
      <w:rPr>
        <w:b/>
        <w:bCs/>
      </w:rPr>
    </w:tblStylePr>
    <w:tblStylePr w:type="lastRow">
      <w:rPr>
        <w:b/>
        <w:bCs/>
      </w:rPr>
      <w:tblPr/>
      <w:tcPr>
        <w:tcBorders>
          <w:top w:val="single" w:sz="18" w:space="0" w:color="00A8EA" w:themeColor="accent1" w:themeTint="BF"/>
        </w:tcBorders>
      </w:tcPr>
    </w:tblStylePr>
    <w:tblStylePr w:type="firstCol">
      <w:rPr>
        <w:b/>
        <w:bCs/>
      </w:rPr>
    </w:tblStylePr>
    <w:tblStylePr w:type="lastCol">
      <w:rPr>
        <w:b/>
        <w:bCs/>
      </w:rPr>
    </w:tblStylePr>
    <w:tblStylePr w:type="band1Vert">
      <w:tblPr/>
      <w:tcPr>
        <w:shd w:val="clear" w:color="auto" w:fill="47CBFF" w:themeFill="accent1" w:themeFillTint="7F"/>
      </w:tcPr>
    </w:tblStylePr>
    <w:tblStylePr w:type="band1Horz">
      <w:tblPr/>
      <w:tcPr>
        <w:shd w:val="clear" w:color="auto" w:fill="47CBFF" w:themeFill="accent1" w:themeFillTint="7F"/>
      </w:tcPr>
    </w:tblStylePr>
  </w:style>
  <w:style w:type="table" w:styleId="MediumGrid1-Accent2">
    <w:name w:val="Medium Grid 1 Accent 2"/>
    <w:basedOn w:val="TableNormal"/>
    <w:uiPriority w:val="67"/>
    <w:rsid w:val="00DA0EFE"/>
    <w:tblPr>
      <w:tblStyleRowBandSize w:val="1"/>
      <w:tblStyleColBandSize w:val="1"/>
      <w:tblBorders>
        <w:top w:val="single" w:sz="8"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single" w:sz="8" w:space="0" w:color="92BECF" w:themeColor="accent2" w:themeTint="BF"/>
        <w:insideV w:val="single" w:sz="8" w:space="0" w:color="92BECF" w:themeColor="accent2" w:themeTint="BF"/>
      </w:tblBorders>
    </w:tblPr>
    <w:tcPr>
      <w:shd w:val="clear" w:color="auto" w:fill="DBE9EF" w:themeFill="accent2" w:themeFillTint="3F"/>
    </w:tcPr>
    <w:tblStylePr w:type="firstRow">
      <w:rPr>
        <w:b/>
        <w:bCs/>
      </w:rPr>
    </w:tblStylePr>
    <w:tblStylePr w:type="lastRow">
      <w:rPr>
        <w:b/>
        <w:bCs/>
      </w:rPr>
      <w:tblPr/>
      <w:tcPr>
        <w:tcBorders>
          <w:top w:val="single" w:sz="18" w:space="0" w:color="92BECF" w:themeColor="accent2" w:themeTint="BF"/>
        </w:tcBorders>
      </w:tcPr>
    </w:tblStylePr>
    <w:tblStylePr w:type="firstCol">
      <w:rPr>
        <w:b/>
        <w:bCs/>
      </w:rPr>
    </w:tblStylePr>
    <w:tblStylePr w:type="lastCol">
      <w:rPr>
        <w:b/>
        <w:bCs/>
      </w:rPr>
    </w:tblStylePr>
    <w:tblStylePr w:type="band1Vert">
      <w:tblPr/>
      <w:tcPr>
        <w:shd w:val="clear" w:color="auto" w:fill="B6D4DF" w:themeFill="accent2" w:themeFillTint="7F"/>
      </w:tcPr>
    </w:tblStylePr>
    <w:tblStylePr w:type="band1Horz">
      <w:tblPr/>
      <w:tcPr>
        <w:shd w:val="clear" w:color="auto" w:fill="B6D4DF" w:themeFill="accent2" w:themeFillTint="7F"/>
      </w:tcPr>
    </w:tblStylePr>
  </w:style>
  <w:style w:type="table" w:styleId="MediumGrid1-Accent3">
    <w:name w:val="Medium Grid 1 Accent 3"/>
    <w:basedOn w:val="TableNormal"/>
    <w:uiPriority w:val="67"/>
    <w:rsid w:val="00DA0EFE"/>
    <w:tblPr>
      <w:tblStyleRowBandSize w:val="1"/>
      <w:tblStyleColBandSize w:val="1"/>
      <w:tblBorders>
        <w:top w:val="single" w:sz="8"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single" w:sz="8" w:space="0" w:color="D3E4ED" w:themeColor="accent3" w:themeTint="BF"/>
        <w:insideV w:val="single" w:sz="8" w:space="0" w:color="D3E4ED" w:themeColor="accent3" w:themeTint="BF"/>
      </w:tblBorders>
    </w:tblPr>
    <w:tcPr>
      <w:shd w:val="clear" w:color="auto" w:fill="F0F6F9" w:themeFill="accent3" w:themeFillTint="3F"/>
    </w:tcPr>
    <w:tblStylePr w:type="firstRow">
      <w:rPr>
        <w:b/>
        <w:bCs/>
      </w:rPr>
    </w:tblStylePr>
    <w:tblStylePr w:type="lastRow">
      <w:rPr>
        <w:b/>
        <w:bCs/>
      </w:rPr>
      <w:tblPr/>
      <w:tcPr>
        <w:tcBorders>
          <w:top w:val="single" w:sz="18" w:space="0" w:color="D3E4ED" w:themeColor="accent3" w:themeTint="BF"/>
        </w:tcBorders>
      </w:tcPr>
    </w:tblStylePr>
    <w:tblStylePr w:type="firstCol">
      <w:rPr>
        <w:b/>
        <w:bCs/>
      </w:rPr>
    </w:tblStylePr>
    <w:tblStylePr w:type="lastCol">
      <w:rPr>
        <w:b/>
        <w:bCs/>
      </w:rPr>
    </w:tblStylePr>
    <w:tblStylePr w:type="band1Vert">
      <w:tblPr/>
      <w:tcPr>
        <w:shd w:val="clear" w:color="auto" w:fill="E2EDF3" w:themeFill="accent3" w:themeFillTint="7F"/>
      </w:tcPr>
    </w:tblStylePr>
    <w:tblStylePr w:type="band1Horz">
      <w:tblPr/>
      <w:tcPr>
        <w:shd w:val="clear" w:color="auto" w:fill="E2EDF3" w:themeFill="accent3" w:themeFillTint="7F"/>
      </w:tcPr>
    </w:tblStylePr>
  </w:style>
  <w:style w:type="table" w:styleId="MediumGrid1-Accent4">
    <w:name w:val="Medium Grid 1 Accent 4"/>
    <w:basedOn w:val="TableNormal"/>
    <w:uiPriority w:val="67"/>
    <w:rsid w:val="00DA0EFE"/>
    <w:tblPr>
      <w:tblStyleRowBandSize w:val="1"/>
      <w:tblStyleColBandSize w:val="1"/>
      <w:tblBorders>
        <w:top w:val="single" w:sz="8"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single" w:sz="8" w:space="0" w:color="A8AEB6" w:themeColor="accent4" w:themeTint="BF"/>
        <w:insideV w:val="single" w:sz="8" w:space="0" w:color="A8AEB6" w:themeColor="accent4" w:themeTint="BF"/>
      </w:tblBorders>
    </w:tblPr>
    <w:tcPr>
      <w:shd w:val="clear" w:color="auto" w:fill="E2E4E7" w:themeFill="accent4" w:themeFillTint="3F"/>
    </w:tcPr>
    <w:tblStylePr w:type="firstRow">
      <w:rPr>
        <w:b/>
        <w:bCs/>
      </w:rPr>
    </w:tblStylePr>
    <w:tblStylePr w:type="lastRow">
      <w:rPr>
        <w:b/>
        <w:bCs/>
      </w:rPr>
      <w:tblPr/>
      <w:tcPr>
        <w:tcBorders>
          <w:top w:val="single" w:sz="18" w:space="0" w:color="A8AEB6" w:themeColor="accent4" w:themeTint="BF"/>
        </w:tcBorders>
      </w:tcPr>
    </w:tblStylePr>
    <w:tblStylePr w:type="firstCol">
      <w:rPr>
        <w:b/>
        <w:bCs/>
      </w:rPr>
    </w:tblStylePr>
    <w:tblStylePr w:type="lastCol">
      <w:rPr>
        <w:b/>
        <w:bCs/>
      </w:rPr>
    </w:tblStylePr>
    <w:tblStylePr w:type="band1Vert">
      <w:tblPr/>
      <w:tcPr>
        <w:shd w:val="clear" w:color="auto" w:fill="C5C9CE" w:themeFill="accent4" w:themeFillTint="7F"/>
      </w:tcPr>
    </w:tblStylePr>
    <w:tblStylePr w:type="band1Horz">
      <w:tblPr/>
      <w:tcPr>
        <w:shd w:val="clear" w:color="auto" w:fill="C5C9CE" w:themeFill="accent4" w:themeFillTint="7F"/>
      </w:tcPr>
    </w:tblStylePr>
  </w:style>
  <w:style w:type="table" w:styleId="MediumGrid1-Accent5">
    <w:name w:val="Medium Grid 1 Accent 5"/>
    <w:basedOn w:val="TableNormal"/>
    <w:uiPriority w:val="67"/>
    <w:rsid w:val="00DA0EFE"/>
    <w:tblPr>
      <w:tblStyleRowBandSize w:val="1"/>
      <w:tblStyleColBandSize w:val="1"/>
      <w:tblBorders>
        <w:top w:val="single" w:sz="8"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single" w:sz="8" w:space="0" w:color="E65141" w:themeColor="accent5" w:themeTint="BF"/>
        <w:insideV w:val="single" w:sz="8" w:space="0" w:color="E65141" w:themeColor="accent5" w:themeTint="BF"/>
      </w:tblBorders>
    </w:tblPr>
    <w:tcPr>
      <w:shd w:val="clear" w:color="auto" w:fill="F6C5C0" w:themeFill="accent5" w:themeFillTint="3F"/>
    </w:tcPr>
    <w:tblStylePr w:type="firstRow">
      <w:rPr>
        <w:b/>
        <w:bCs/>
      </w:rPr>
    </w:tblStylePr>
    <w:tblStylePr w:type="lastRow">
      <w:rPr>
        <w:b/>
        <w:bCs/>
      </w:rPr>
      <w:tblPr/>
      <w:tcPr>
        <w:tcBorders>
          <w:top w:val="single" w:sz="18" w:space="0" w:color="E65141" w:themeColor="accent5" w:themeTint="BF"/>
        </w:tcBorders>
      </w:tcPr>
    </w:tblStylePr>
    <w:tblStylePr w:type="firstCol">
      <w:rPr>
        <w:b/>
        <w:bCs/>
      </w:rPr>
    </w:tblStylePr>
    <w:tblStylePr w:type="lastCol">
      <w:rPr>
        <w:b/>
        <w:bCs/>
      </w:rPr>
    </w:tblStylePr>
    <w:tblStylePr w:type="band1Vert">
      <w:tblPr/>
      <w:tcPr>
        <w:shd w:val="clear" w:color="auto" w:fill="EE8B80" w:themeFill="accent5" w:themeFillTint="7F"/>
      </w:tcPr>
    </w:tblStylePr>
    <w:tblStylePr w:type="band1Horz">
      <w:tblPr/>
      <w:tcPr>
        <w:shd w:val="clear" w:color="auto" w:fill="EE8B80" w:themeFill="accent5" w:themeFillTint="7F"/>
      </w:tcPr>
    </w:tblStylePr>
  </w:style>
  <w:style w:type="table" w:styleId="MediumGrid1-Accent6">
    <w:name w:val="Medium Grid 1 Accent 6"/>
    <w:basedOn w:val="TableNormal"/>
    <w:uiPriority w:val="67"/>
    <w:rsid w:val="00DA0EFE"/>
    <w:tblPr>
      <w:tblStyleRowBandSize w:val="1"/>
      <w:tblStyleColBandSize w:val="1"/>
      <w:tblBorders>
        <w:top w:val="single" w:sz="8"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single" w:sz="8" w:space="0" w:color="F53776" w:themeColor="accent6" w:themeTint="BF"/>
        <w:insideV w:val="single" w:sz="8" w:space="0" w:color="F53776" w:themeColor="accent6" w:themeTint="BF"/>
      </w:tblBorders>
    </w:tblPr>
    <w:tcPr>
      <w:shd w:val="clear" w:color="auto" w:fill="FBBCD1" w:themeFill="accent6" w:themeFillTint="3F"/>
    </w:tcPr>
    <w:tblStylePr w:type="firstRow">
      <w:rPr>
        <w:b/>
        <w:bCs/>
      </w:rPr>
    </w:tblStylePr>
    <w:tblStylePr w:type="lastRow">
      <w:rPr>
        <w:b/>
        <w:bCs/>
      </w:rPr>
      <w:tblPr/>
      <w:tcPr>
        <w:tcBorders>
          <w:top w:val="single" w:sz="18" w:space="0" w:color="F53776" w:themeColor="accent6" w:themeTint="BF"/>
        </w:tcBorders>
      </w:tcPr>
    </w:tblStylePr>
    <w:tblStylePr w:type="firstCol">
      <w:rPr>
        <w:b/>
        <w:bCs/>
      </w:rPr>
    </w:tblStylePr>
    <w:tblStylePr w:type="lastCol">
      <w:rPr>
        <w:b/>
        <w:bCs/>
      </w:rPr>
    </w:tblStylePr>
    <w:tblStylePr w:type="band1Vert">
      <w:tblPr/>
      <w:tcPr>
        <w:shd w:val="clear" w:color="auto" w:fill="F87AA4" w:themeFill="accent6" w:themeFillTint="7F"/>
      </w:tcPr>
    </w:tblStylePr>
    <w:tblStylePr w:type="band1Horz">
      <w:tblPr/>
      <w:tcPr>
        <w:shd w:val="clear" w:color="auto" w:fill="F87AA4" w:themeFill="accent6" w:themeFillTint="7F"/>
      </w:tcPr>
    </w:tblStylePr>
  </w:style>
  <w:style w:type="table" w:customStyle="1" w:styleId="MediumGrid21">
    <w:name w:val="Medium Grid 21"/>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insideH w:val="single" w:sz="8" w:space="0" w:color="00668E" w:themeColor="accent1"/>
        <w:insideV w:val="single" w:sz="8" w:space="0" w:color="00668E" w:themeColor="accent1"/>
      </w:tblBorders>
    </w:tblPr>
    <w:tcPr>
      <w:shd w:val="clear" w:color="auto" w:fill="A4E5FF" w:themeFill="accent1" w:themeFillTint="3F"/>
    </w:tcPr>
    <w:tblStylePr w:type="firstRow">
      <w:rPr>
        <w:b/>
        <w:bCs/>
        <w:color w:val="000000" w:themeColor="text1"/>
      </w:rPr>
      <w:tblPr/>
      <w:tcPr>
        <w:shd w:val="clear" w:color="auto" w:fill="DA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AFF" w:themeFill="accent1" w:themeFillTint="33"/>
      </w:tcPr>
    </w:tblStylePr>
    <w:tblStylePr w:type="band1Vert">
      <w:tblPr/>
      <w:tcPr>
        <w:shd w:val="clear" w:color="auto" w:fill="47CBFF" w:themeFill="accent1" w:themeFillTint="7F"/>
      </w:tcPr>
    </w:tblStylePr>
    <w:tblStylePr w:type="band1Horz">
      <w:tblPr/>
      <w:tcPr>
        <w:tcBorders>
          <w:insideH w:val="single" w:sz="6" w:space="0" w:color="00668E" w:themeColor="accent1"/>
          <w:insideV w:val="single" w:sz="6" w:space="0" w:color="00668E" w:themeColor="accent1"/>
        </w:tcBorders>
        <w:shd w:val="clear" w:color="auto" w:fill="47C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insideH w:val="single" w:sz="8" w:space="0" w:color="6EA9BF" w:themeColor="accent2"/>
        <w:insideV w:val="single" w:sz="8" w:space="0" w:color="6EA9BF" w:themeColor="accent2"/>
      </w:tblBorders>
    </w:tblPr>
    <w:tcPr>
      <w:shd w:val="clear" w:color="auto" w:fill="DBE9EF" w:themeFill="accent2" w:themeFillTint="3F"/>
    </w:tcPr>
    <w:tblStylePr w:type="firstRow">
      <w:rPr>
        <w:b/>
        <w:bCs/>
        <w:color w:val="000000" w:themeColor="text1"/>
      </w:rPr>
      <w:tblPr/>
      <w:tcPr>
        <w:shd w:val="clear" w:color="auto" w:fill="F0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F2" w:themeFill="accent2" w:themeFillTint="33"/>
      </w:tcPr>
    </w:tblStylePr>
    <w:tblStylePr w:type="band1Vert">
      <w:tblPr/>
      <w:tcPr>
        <w:shd w:val="clear" w:color="auto" w:fill="B6D4DF" w:themeFill="accent2" w:themeFillTint="7F"/>
      </w:tcPr>
    </w:tblStylePr>
    <w:tblStylePr w:type="band1Horz">
      <w:tblPr/>
      <w:tcPr>
        <w:tcBorders>
          <w:insideH w:val="single" w:sz="6" w:space="0" w:color="6EA9BF" w:themeColor="accent2"/>
          <w:insideV w:val="single" w:sz="6" w:space="0" w:color="6EA9BF" w:themeColor="accent2"/>
        </w:tcBorders>
        <w:shd w:val="clear" w:color="auto" w:fill="B6D4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insideH w:val="single" w:sz="8" w:space="0" w:color="C5DCE7" w:themeColor="accent3"/>
        <w:insideV w:val="single" w:sz="8" w:space="0" w:color="C5DCE7" w:themeColor="accent3"/>
      </w:tblBorders>
    </w:tblPr>
    <w:tcPr>
      <w:shd w:val="clear" w:color="auto" w:fill="F0F6F9" w:themeFill="accent3" w:themeFillTint="3F"/>
    </w:tcPr>
    <w:tblStylePr w:type="firstRow">
      <w:rPr>
        <w:b/>
        <w:bCs/>
        <w:color w:val="000000" w:themeColor="text1"/>
      </w:rPr>
      <w:tblPr/>
      <w:tcPr>
        <w:shd w:val="clear" w:color="auto" w:fill="F9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FA" w:themeFill="accent3" w:themeFillTint="33"/>
      </w:tcPr>
    </w:tblStylePr>
    <w:tblStylePr w:type="band1Vert">
      <w:tblPr/>
      <w:tcPr>
        <w:shd w:val="clear" w:color="auto" w:fill="E2EDF3" w:themeFill="accent3" w:themeFillTint="7F"/>
      </w:tcPr>
    </w:tblStylePr>
    <w:tblStylePr w:type="band1Horz">
      <w:tblPr/>
      <w:tcPr>
        <w:tcBorders>
          <w:insideH w:val="single" w:sz="6" w:space="0" w:color="C5DCE7" w:themeColor="accent3"/>
          <w:insideV w:val="single" w:sz="6" w:space="0" w:color="C5DCE7" w:themeColor="accent3"/>
        </w:tcBorders>
        <w:shd w:val="clear" w:color="auto" w:fill="E2ED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insideH w:val="single" w:sz="8" w:space="0" w:color="8C949E" w:themeColor="accent4"/>
        <w:insideV w:val="single" w:sz="8" w:space="0" w:color="8C949E" w:themeColor="accent4"/>
      </w:tblBorders>
    </w:tblPr>
    <w:tcPr>
      <w:shd w:val="clear" w:color="auto" w:fill="E2E4E7" w:themeFill="accent4" w:themeFillTint="3F"/>
    </w:tcPr>
    <w:tblStylePr w:type="firstRow">
      <w:rPr>
        <w:b/>
        <w:bCs/>
        <w:color w:val="000000" w:themeColor="text1"/>
      </w:rPr>
      <w:tblPr/>
      <w:tcPr>
        <w:shd w:val="clear" w:color="auto" w:fill="F3F4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9EB" w:themeFill="accent4" w:themeFillTint="33"/>
      </w:tcPr>
    </w:tblStylePr>
    <w:tblStylePr w:type="band1Vert">
      <w:tblPr/>
      <w:tcPr>
        <w:shd w:val="clear" w:color="auto" w:fill="C5C9CE" w:themeFill="accent4" w:themeFillTint="7F"/>
      </w:tcPr>
    </w:tblStylePr>
    <w:tblStylePr w:type="band1Horz">
      <w:tblPr/>
      <w:tcPr>
        <w:tcBorders>
          <w:insideH w:val="single" w:sz="6" w:space="0" w:color="8C949E" w:themeColor="accent4"/>
          <w:insideV w:val="single" w:sz="6" w:space="0" w:color="8C949E" w:themeColor="accent4"/>
        </w:tcBorders>
        <w:shd w:val="clear" w:color="auto" w:fill="C5C9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insideH w:val="single" w:sz="8" w:space="0" w:color="C52B1A" w:themeColor="accent5"/>
        <w:insideV w:val="single" w:sz="8" w:space="0" w:color="C52B1A" w:themeColor="accent5"/>
      </w:tblBorders>
    </w:tblPr>
    <w:tcPr>
      <w:shd w:val="clear" w:color="auto" w:fill="F6C5C0" w:themeFill="accent5" w:themeFillTint="3F"/>
    </w:tcPr>
    <w:tblStylePr w:type="firstRow">
      <w:rPr>
        <w:b/>
        <w:bCs/>
        <w:color w:val="000000" w:themeColor="text1"/>
      </w:rPr>
      <w:tblPr/>
      <w:tcPr>
        <w:shd w:val="clear" w:color="auto" w:fill="FBE7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0CC" w:themeFill="accent5" w:themeFillTint="33"/>
      </w:tcPr>
    </w:tblStylePr>
    <w:tblStylePr w:type="band1Vert">
      <w:tblPr/>
      <w:tcPr>
        <w:shd w:val="clear" w:color="auto" w:fill="EE8B80" w:themeFill="accent5" w:themeFillTint="7F"/>
      </w:tcPr>
    </w:tblStylePr>
    <w:tblStylePr w:type="band1Horz">
      <w:tblPr/>
      <w:tcPr>
        <w:tcBorders>
          <w:insideH w:val="single" w:sz="6" w:space="0" w:color="C52B1A" w:themeColor="accent5"/>
          <w:insideV w:val="single" w:sz="6" w:space="0" w:color="C52B1A" w:themeColor="accent5"/>
        </w:tcBorders>
        <w:shd w:val="clear" w:color="auto" w:fill="EE8B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A0EFE"/>
    <w:rPr>
      <w:rFonts w:asciiTheme="majorHAnsi" w:eastAsiaTheme="majorEastAsia" w:hAnsiTheme="majorHAnsi" w:cstheme="majorBidi"/>
      <w:color w:val="000000" w:themeColor="text1"/>
    </w:rPr>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insideH w:val="single" w:sz="8" w:space="0" w:color="DB0B51" w:themeColor="accent6"/>
        <w:insideV w:val="single" w:sz="8" w:space="0" w:color="DB0B51" w:themeColor="accent6"/>
      </w:tblBorders>
    </w:tblPr>
    <w:tcPr>
      <w:shd w:val="clear" w:color="auto" w:fill="FBBCD1" w:themeFill="accent6" w:themeFillTint="3F"/>
    </w:tcPr>
    <w:tblStylePr w:type="firstRow">
      <w:rPr>
        <w:b/>
        <w:bCs/>
        <w:color w:val="000000" w:themeColor="text1"/>
      </w:rPr>
      <w:tblPr/>
      <w:tcPr>
        <w:shd w:val="clear" w:color="auto" w:fill="FDE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9DA" w:themeFill="accent6" w:themeFillTint="33"/>
      </w:tcPr>
    </w:tblStylePr>
    <w:tblStylePr w:type="band1Vert">
      <w:tblPr/>
      <w:tcPr>
        <w:shd w:val="clear" w:color="auto" w:fill="F87AA4" w:themeFill="accent6" w:themeFillTint="7F"/>
      </w:tcPr>
    </w:tblStylePr>
    <w:tblStylePr w:type="band1Horz">
      <w:tblPr/>
      <w:tcPr>
        <w:tcBorders>
          <w:insideH w:val="single" w:sz="6" w:space="0" w:color="DB0B51" w:themeColor="accent6"/>
          <w:insideV w:val="single" w:sz="6" w:space="0" w:color="DB0B51" w:themeColor="accent6"/>
        </w:tcBorders>
        <w:shd w:val="clear" w:color="auto" w:fill="F87AA4"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C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CBFF" w:themeFill="accent1" w:themeFillTint="7F"/>
      </w:tcPr>
    </w:tblStylePr>
  </w:style>
  <w:style w:type="table" w:styleId="MediumGrid3-Accent2">
    <w:name w:val="Medium Grid 3 Accent 2"/>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9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9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9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9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9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4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4DF" w:themeFill="accent2" w:themeFillTint="7F"/>
      </w:tcPr>
    </w:tblStylePr>
  </w:style>
  <w:style w:type="table" w:styleId="MediumGrid3-Accent3">
    <w:name w:val="Medium Grid 3 Accent 3"/>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6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DC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DC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DC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DC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ED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EDF3" w:themeFill="accent3" w:themeFillTint="7F"/>
      </w:tcPr>
    </w:tblStylePr>
  </w:style>
  <w:style w:type="table" w:styleId="MediumGrid3-Accent4">
    <w:name w:val="Medium Grid 3 Accent 4"/>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4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949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949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949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949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9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9CE" w:themeFill="accent4" w:themeFillTint="7F"/>
      </w:tcPr>
    </w:tblStylePr>
  </w:style>
  <w:style w:type="table" w:styleId="MediumGrid3-Accent5">
    <w:name w:val="Medium Grid 3 Accent 5"/>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5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2B1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2B1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2B1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2B1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B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B80" w:themeFill="accent5" w:themeFillTint="7F"/>
      </w:tcPr>
    </w:tblStylePr>
  </w:style>
  <w:style w:type="table" w:styleId="MediumGrid3-Accent6">
    <w:name w:val="Medium Grid 3 Accent 6"/>
    <w:basedOn w:val="TableNormal"/>
    <w:uiPriority w:val="69"/>
    <w:rsid w:val="00DA0EF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BC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0B5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0B5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0B5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0B5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7A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7AA4" w:themeFill="accent6" w:themeFillTint="7F"/>
      </w:tcPr>
    </w:tblStylePr>
  </w:style>
  <w:style w:type="table" w:customStyle="1" w:styleId="MediumList11">
    <w:name w:val="Medium List 11"/>
    <w:basedOn w:val="TableNormal"/>
    <w:uiPriority w:val="65"/>
    <w:rsid w:val="00DA0EF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A0EFE"/>
    <w:rPr>
      <w:color w:val="000000" w:themeColor="text1"/>
    </w:rPr>
    <w:tblPr>
      <w:tblStyleRowBandSize w:val="1"/>
      <w:tblStyleColBandSize w:val="1"/>
      <w:tblBorders>
        <w:top w:val="single" w:sz="8" w:space="0" w:color="00668E" w:themeColor="accent1"/>
        <w:bottom w:val="single" w:sz="8" w:space="0" w:color="00668E" w:themeColor="accent1"/>
      </w:tblBorders>
    </w:tblPr>
    <w:tblStylePr w:type="firstRow">
      <w:rPr>
        <w:rFonts w:asciiTheme="majorHAnsi" w:eastAsiaTheme="majorEastAsia" w:hAnsiTheme="majorHAnsi" w:cstheme="majorBidi"/>
      </w:rPr>
      <w:tblPr/>
      <w:tcPr>
        <w:tcBorders>
          <w:top w:val="nil"/>
          <w:bottom w:val="single" w:sz="8" w:space="0" w:color="00668E" w:themeColor="accent1"/>
        </w:tcBorders>
      </w:tcPr>
    </w:tblStylePr>
    <w:tblStylePr w:type="lastRow">
      <w:rPr>
        <w:b/>
        <w:bCs/>
        <w:color w:val="00668E" w:themeColor="text2"/>
      </w:rPr>
      <w:tblPr/>
      <w:tcPr>
        <w:tcBorders>
          <w:top w:val="single" w:sz="8" w:space="0" w:color="00668E" w:themeColor="accent1"/>
          <w:bottom w:val="single" w:sz="8" w:space="0" w:color="00668E" w:themeColor="accent1"/>
        </w:tcBorders>
      </w:tcPr>
    </w:tblStylePr>
    <w:tblStylePr w:type="firstCol">
      <w:rPr>
        <w:b/>
        <w:bCs/>
      </w:rPr>
    </w:tblStylePr>
    <w:tblStylePr w:type="lastCol">
      <w:rPr>
        <w:b/>
        <w:bCs/>
      </w:rPr>
      <w:tblPr/>
      <w:tcPr>
        <w:tcBorders>
          <w:top w:val="single" w:sz="8" w:space="0" w:color="00668E" w:themeColor="accent1"/>
          <w:bottom w:val="single" w:sz="8" w:space="0" w:color="00668E" w:themeColor="accent1"/>
        </w:tcBorders>
      </w:tcPr>
    </w:tblStylePr>
    <w:tblStylePr w:type="band1Vert">
      <w:tblPr/>
      <w:tcPr>
        <w:shd w:val="clear" w:color="auto" w:fill="A4E5FF" w:themeFill="accent1" w:themeFillTint="3F"/>
      </w:tcPr>
    </w:tblStylePr>
    <w:tblStylePr w:type="band1Horz">
      <w:tblPr/>
      <w:tcPr>
        <w:shd w:val="clear" w:color="auto" w:fill="A4E5FF" w:themeFill="accent1" w:themeFillTint="3F"/>
      </w:tcPr>
    </w:tblStylePr>
  </w:style>
  <w:style w:type="table" w:styleId="MediumList1-Accent2">
    <w:name w:val="Medium List 1 Accent 2"/>
    <w:basedOn w:val="TableNormal"/>
    <w:uiPriority w:val="65"/>
    <w:rsid w:val="00DA0EFE"/>
    <w:rPr>
      <w:color w:val="000000" w:themeColor="text1"/>
    </w:rPr>
    <w:tblPr>
      <w:tblStyleRowBandSize w:val="1"/>
      <w:tblStyleColBandSize w:val="1"/>
      <w:tblBorders>
        <w:top w:val="single" w:sz="8" w:space="0" w:color="6EA9BF" w:themeColor="accent2"/>
        <w:bottom w:val="single" w:sz="8" w:space="0" w:color="6EA9BF" w:themeColor="accent2"/>
      </w:tblBorders>
    </w:tblPr>
    <w:tblStylePr w:type="firstRow">
      <w:rPr>
        <w:rFonts w:asciiTheme="majorHAnsi" w:eastAsiaTheme="majorEastAsia" w:hAnsiTheme="majorHAnsi" w:cstheme="majorBidi"/>
      </w:rPr>
      <w:tblPr/>
      <w:tcPr>
        <w:tcBorders>
          <w:top w:val="nil"/>
          <w:bottom w:val="single" w:sz="8" w:space="0" w:color="6EA9BF" w:themeColor="accent2"/>
        </w:tcBorders>
      </w:tcPr>
    </w:tblStylePr>
    <w:tblStylePr w:type="lastRow">
      <w:rPr>
        <w:b/>
        <w:bCs/>
        <w:color w:val="00668E" w:themeColor="text2"/>
      </w:rPr>
      <w:tblPr/>
      <w:tcPr>
        <w:tcBorders>
          <w:top w:val="single" w:sz="8" w:space="0" w:color="6EA9BF" w:themeColor="accent2"/>
          <w:bottom w:val="single" w:sz="8" w:space="0" w:color="6EA9BF" w:themeColor="accent2"/>
        </w:tcBorders>
      </w:tcPr>
    </w:tblStylePr>
    <w:tblStylePr w:type="firstCol">
      <w:rPr>
        <w:b/>
        <w:bCs/>
      </w:rPr>
    </w:tblStylePr>
    <w:tblStylePr w:type="lastCol">
      <w:rPr>
        <w:b/>
        <w:bCs/>
      </w:rPr>
      <w:tblPr/>
      <w:tcPr>
        <w:tcBorders>
          <w:top w:val="single" w:sz="8" w:space="0" w:color="6EA9BF" w:themeColor="accent2"/>
          <w:bottom w:val="single" w:sz="8" w:space="0" w:color="6EA9BF" w:themeColor="accent2"/>
        </w:tcBorders>
      </w:tcPr>
    </w:tblStylePr>
    <w:tblStylePr w:type="band1Vert">
      <w:tblPr/>
      <w:tcPr>
        <w:shd w:val="clear" w:color="auto" w:fill="DBE9EF" w:themeFill="accent2" w:themeFillTint="3F"/>
      </w:tcPr>
    </w:tblStylePr>
    <w:tblStylePr w:type="band1Horz">
      <w:tblPr/>
      <w:tcPr>
        <w:shd w:val="clear" w:color="auto" w:fill="DBE9EF" w:themeFill="accent2" w:themeFillTint="3F"/>
      </w:tcPr>
    </w:tblStylePr>
  </w:style>
  <w:style w:type="table" w:styleId="MediumList1-Accent3">
    <w:name w:val="Medium List 1 Accent 3"/>
    <w:basedOn w:val="TableNormal"/>
    <w:uiPriority w:val="65"/>
    <w:rsid w:val="00DA0EFE"/>
    <w:rPr>
      <w:color w:val="000000" w:themeColor="text1"/>
    </w:rPr>
    <w:tblPr>
      <w:tblStyleRowBandSize w:val="1"/>
      <w:tblStyleColBandSize w:val="1"/>
      <w:tblBorders>
        <w:top w:val="single" w:sz="8" w:space="0" w:color="C5DCE7" w:themeColor="accent3"/>
        <w:bottom w:val="single" w:sz="8" w:space="0" w:color="C5DCE7" w:themeColor="accent3"/>
      </w:tblBorders>
    </w:tblPr>
    <w:tblStylePr w:type="firstRow">
      <w:rPr>
        <w:rFonts w:asciiTheme="majorHAnsi" w:eastAsiaTheme="majorEastAsia" w:hAnsiTheme="majorHAnsi" w:cstheme="majorBidi"/>
      </w:rPr>
      <w:tblPr/>
      <w:tcPr>
        <w:tcBorders>
          <w:top w:val="nil"/>
          <w:bottom w:val="single" w:sz="8" w:space="0" w:color="C5DCE7" w:themeColor="accent3"/>
        </w:tcBorders>
      </w:tcPr>
    </w:tblStylePr>
    <w:tblStylePr w:type="lastRow">
      <w:rPr>
        <w:b/>
        <w:bCs/>
        <w:color w:val="00668E" w:themeColor="text2"/>
      </w:rPr>
      <w:tblPr/>
      <w:tcPr>
        <w:tcBorders>
          <w:top w:val="single" w:sz="8" w:space="0" w:color="C5DCE7" w:themeColor="accent3"/>
          <w:bottom w:val="single" w:sz="8" w:space="0" w:color="C5DCE7" w:themeColor="accent3"/>
        </w:tcBorders>
      </w:tcPr>
    </w:tblStylePr>
    <w:tblStylePr w:type="firstCol">
      <w:rPr>
        <w:b/>
        <w:bCs/>
      </w:rPr>
    </w:tblStylePr>
    <w:tblStylePr w:type="lastCol">
      <w:rPr>
        <w:b/>
        <w:bCs/>
      </w:rPr>
      <w:tblPr/>
      <w:tcPr>
        <w:tcBorders>
          <w:top w:val="single" w:sz="8" w:space="0" w:color="C5DCE7" w:themeColor="accent3"/>
          <w:bottom w:val="single" w:sz="8" w:space="0" w:color="C5DCE7" w:themeColor="accent3"/>
        </w:tcBorders>
      </w:tcPr>
    </w:tblStylePr>
    <w:tblStylePr w:type="band1Vert">
      <w:tblPr/>
      <w:tcPr>
        <w:shd w:val="clear" w:color="auto" w:fill="F0F6F9" w:themeFill="accent3" w:themeFillTint="3F"/>
      </w:tcPr>
    </w:tblStylePr>
    <w:tblStylePr w:type="band1Horz">
      <w:tblPr/>
      <w:tcPr>
        <w:shd w:val="clear" w:color="auto" w:fill="F0F6F9" w:themeFill="accent3" w:themeFillTint="3F"/>
      </w:tcPr>
    </w:tblStylePr>
  </w:style>
  <w:style w:type="table" w:styleId="MediumList1-Accent4">
    <w:name w:val="Medium List 1 Accent 4"/>
    <w:basedOn w:val="TableNormal"/>
    <w:uiPriority w:val="65"/>
    <w:rsid w:val="00DA0EFE"/>
    <w:rPr>
      <w:color w:val="000000" w:themeColor="text1"/>
    </w:rPr>
    <w:tblPr>
      <w:tblStyleRowBandSize w:val="1"/>
      <w:tblStyleColBandSize w:val="1"/>
      <w:tblBorders>
        <w:top w:val="single" w:sz="8" w:space="0" w:color="8C949E" w:themeColor="accent4"/>
        <w:bottom w:val="single" w:sz="8" w:space="0" w:color="8C949E" w:themeColor="accent4"/>
      </w:tblBorders>
    </w:tblPr>
    <w:tblStylePr w:type="firstRow">
      <w:rPr>
        <w:rFonts w:asciiTheme="majorHAnsi" w:eastAsiaTheme="majorEastAsia" w:hAnsiTheme="majorHAnsi" w:cstheme="majorBidi"/>
      </w:rPr>
      <w:tblPr/>
      <w:tcPr>
        <w:tcBorders>
          <w:top w:val="nil"/>
          <w:bottom w:val="single" w:sz="8" w:space="0" w:color="8C949E" w:themeColor="accent4"/>
        </w:tcBorders>
      </w:tcPr>
    </w:tblStylePr>
    <w:tblStylePr w:type="lastRow">
      <w:rPr>
        <w:b/>
        <w:bCs/>
        <w:color w:val="00668E" w:themeColor="text2"/>
      </w:rPr>
      <w:tblPr/>
      <w:tcPr>
        <w:tcBorders>
          <w:top w:val="single" w:sz="8" w:space="0" w:color="8C949E" w:themeColor="accent4"/>
          <w:bottom w:val="single" w:sz="8" w:space="0" w:color="8C949E" w:themeColor="accent4"/>
        </w:tcBorders>
      </w:tcPr>
    </w:tblStylePr>
    <w:tblStylePr w:type="firstCol">
      <w:rPr>
        <w:b/>
        <w:bCs/>
      </w:rPr>
    </w:tblStylePr>
    <w:tblStylePr w:type="lastCol">
      <w:rPr>
        <w:b/>
        <w:bCs/>
      </w:rPr>
      <w:tblPr/>
      <w:tcPr>
        <w:tcBorders>
          <w:top w:val="single" w:sz="8" w:space="0" w:color="8C949E" w:themeColor="accent4"/>
          <w:bottom w:val="single" w:sz="8" w:space="0" w:color="8C949E" w:themeColor="accent4"/>
        </w:tcBorders>
      </w:tcPr>
    </w:tblStylePr>
    <w:tblStylePr w:type="band1Vert">
      <w:tblPr/>
      <w:tcPr>
        <w:shd w:val="clear" w:color="auto" w:fill="E2E4E7" w:themeFill="accent4" w:themeFillTint="3F"/>
      </w:tcPr>
    </w:tblStylePr>
    <w:tblStylePr w:type="band1Horz">
      <w:tblPr/>
      <w:tcPr>
        <w:shd w:val="clear" w:color="auto" w:fill="E2E4E7" w:themeFill="accent4" w:themeFillTint="3F"/>
      </w:tcPr>
    </w:tblStylePr>
  </w:style>
  <w:style w:type="table" w:styleId="MediumList1-Accent5">
    <w:name w:val="Medium List 1 Accent 5"/>
    <w:basedOn w:val="TableNormal"/>
    <w:uiPriority w:val="65"/>
    <w:rsid w:val="00DA0EFE"/>
    <w:rPr>
      <w:color w:val="000000" w:themeColor="text1"/>
    </w:rPr>
    <w:tblPr>
      <w:tblStyleRowBandSize w:val="1"/>
      <w:tblStyleColBandSize w:val="1"/>
      <w:tblBorders>
        <w:top w:val="single" w:sz="8" w:space="0" w:color="C52B1A" w:themeColor="accent5"/>
        <w:bottom w:val="single" w:sz="8" w:space="0" w:color="C52B1A" w:themeColor="accent5"/>
      </w:tblBorders>
    </w:tblPr>
    <w:tblStylePr w:type="firstRow">
      <w:rPr>
        <w:rFonts w:asciiTheme="majorHAnsi" w:eastAsiaTheme="majorEastAsia" w:hAnsiTheme="majorHAnsi" w:cstheme="majorBidi"/>
      </w:rPr>
      <w:tblPr/>
      <w:tcPr>
        <w:tcBorders>
          <w:top w:val="nil"/>
          <w:bottom w:val="single" w:sz="8" w:space="0" w:color="C52B1A" w:themeColor="accent5"/>
        </w:tcBorders>
      </w:tcPr>
    </w:tblStylePr>
    <w:tblStylePr w:type="lastRow">
      <w:rPr>
        <w:b/>
        <w:bCs/>
        <w:color w:val="00668E" w:themeColor="text2"/>
      </w:rPr>
      <w:tblPr/>
      <w:tcPr>
        <w:tcBorders>
          <w:top w:val="single" w:sz="8" w:space="0" w:color="C52B1A" w:themeColor="accent5"/>
          <w:bottom w:val="single" w:sz="8" w:space="0" w:color="C52B1A" w:themeColor="accent5"/>
        </w:tcBorders>
      </w:tcPr>
    </w:tblStylePr>
    <w:tblStylePr w:type="firstCol">
      <w:rPr>
        <w:b/>
        <w:bCs/>
      </w:rPr>
    </w:tblStylePr>
    <w:tblStylePr w:type="lastCol">
      <w:rPr>
        <w:b/>
        <w:bCs/>
      </w:rPr>
      <w:tblPr/>
      <w:tcPr>
        <w:tcBorders>
          <w:top w:val="single" w:sz="8" w:space="0" w:color="C52B1A" w:themeColor="accent5"/>
          <w:bottom w:val="single" w:sz="8" w:space="0" w:color="C52B1A" w:themeColor="accent5"/>
        </w:tcBorders>
      </w:tcPr>
    </w:tblStylePr>
    <w:tblStylePr w:type="band1Vert">
      <w:tblPr/>
      <w:tcPr>
        <w:shd w:val="clear" w:color="auto" w:fill="F6C5C0" w:themeFill="accent5" w:themeFillTint="3F"/>
      </w:tcPr>
    </w:tblStylePr>
    <w:tblStylePr w:type="band1Horz">
      <w:tblPr/>
      <w:tcPr>
        <w:shd w:val="clear" w:color="auto" w:fill="F6C5C0" w:themeFill="accent5" w:themeFillTint="3F"/>
      </w:tcPr>
    </w:tblStylePr>
  </w:style>
  <w:style w:type="table" w:styleId="MediumList1-Accent6">
    <w:name w:val="Medium List 1 Accent 6"/>
    <w:basedOn w:val="TableNormal"/>
    <w:uiPriority w:val="65"/>
    <w:rsid w:val="00DA0EFE"/>
    <w:rPr>
      <w:color w:val="000000" w:themeColor="text1"/>
    </w:rPr>
    <w:tblPr>
      <w:tblStyleRowBandSize w:val="1"/>
      <w:tblStyleColBandSize w:val="1"/>
      <w:tblBorders>
        <w:top w:val="single" w:sz="8" w:space="0" w:color="DB0B51" w:themeColor="accent6"/>
        <w:bottom w:val="single" w:sz="8" w:space="0" w:color="DB0B51" w:themeColor="accent6"/>
      </w:tblBorders>
    </w:tblPr>
    <w:tblStylePr w:type="firstRow">
      <w:rPr>
        <w:rFonts w:asciiTheme="majorHAnsi" w:eastAsiaTheme="majorEastAsia" w:hAnsiTheme="majorHAnsi" w:cstheme="majorBidi"/>
      </w:rPr>
      <w:tblPr/>
      <w:tcPr>
        <w:tcBorders>
          <w:top w:val="nil"/>
          <w:bottom w:val="single" w:sz="8" w:space="0" w:color="DB0B51" w:themeColor="accent6"/>
        </w:tcBorders>
      </w:tcPr>
    </w:tblStylePr>
    <w:tblStylePr w:type="lastRow">
      <w:rPr>
        <w:b/>
        <w:bCs/>
        <w:color w:val="00668E" w:themeColor="text2"/>
      </w:rPr>
      <w:tblPr/>
      <w:tcPr>
        <w:tcBorders>
          <w:top w:val="single" w:sz="8" w:space="0" w:color="DB0B51" w:themeColor="accent6"/>
          <w:bottom w:val="single" w:sz="8" w:space="0" w:color="DB0B51" w:themeColor="accent6"/>
        </w:tcBorders>
      </w:tcPr>
    </w:tblStylePr>
    <w:tblStylePr w:type="firstCol">
      <w:rPr>
        <w:b/>
        <w:bCs/>
      </w:rPr>
    </w:tblStylePr>
    <w:tblStylePr w:type="lastCol">
      <w:rPr>
        <w:b/>
        <w:bCs/>
      </w:rPr>
      <w:tblPr/>
      <w:tcPr>
        <w:tcBorders>
          <w:top w:val="single" w:sz="8" w:space="0" w:color="DB0B51" w:themeColor="accent6"/>
          <w:bottom w:val="single" w:sz="8" w:space="0" w:color="DB0B51" w:themeColor="accent6"/>
        </w:tcBorders>
      </w:tcPr>
    </w:tblStylePr>
    <w:tblStylePr w:type="band1Vert">
      <w:tblPr/>
      <w:tcPr>
        <w:shd w:val="clear" w:color="auto" w:fill="FBBCD1" w:themeFill="accent6" w:themeFillTint="3F"/>
      </w:tcPr>
    </w:tblStylePr>
    <w:tblStylePr w:type="band1Horz">
      <w:tblPr/>
      <w:tcPr>
        <w:shd w:val="clear" w:color="auto" w:fill="FBBCD1" w:themeFill="accent6" w:themeFillTint="3F"/>
      </w:tcPr>
    </w:tblStylePr>
  </w:style>
  <w:style w:type="table" w:customStyle="1" w:styleId="MediumList21">
    <w:name w:val="Medium List 21"/>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tblBorders>
    </w:tblPr>
    <w:tblStylePr w:type="firstRow">
      <w:rPr>
        <w:sz w:val="24"/>
        <w:szCs w:val="24"/>
      </w:rPr>
      <w:tblPr/>
      <w:tcPr>
        <w:tcBorders>
          <w:top w:val="nil"/>
          <w:left w:val="nil"/>
          <w:bottom w:val="single" w:sz="24" w:space="0" w:color="00668E" w:themeColor="accent1"/>
          <w:right w:val="nil"/>
          <w:insideH w:val="nil"/>
          <w:insideV w:val="nil"/>
        </w:tcBorders>
        <w:shd w:val="clear" w:color="auto" w:fill="FFFFFF" w:themeFill="background1"/>
      </w:tcPr>
    </w:tblStylePr>
    <w:tblStylePr w:type="lastRow">
      <w:tblPr/>
      <w:tcPr>
        <w:tcBorders>
          <w:top w:val="single" w:sz="8" w:space="0" w:color="0066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8E" w:themeColor="accent1"/>
          <w:insideH w:val="nil"/>
          <w:insideV w:val="nil"/>
        </w:tcBorders>
        <w:shd w:val="clear" w:color="auto" w:fill="FFFFFF" w:themeFill="background1"/>
      </w:tcPr>
    </w:tblStylePr>
    <w:tblStylePr w:type="lastCol">
      <w:tblPr/>
      <w:tcPr>
        <w:tcBorders>
          <w:top w:val="nil"/>
          <w:left w:val="single" w:sz="8" w:space="0" w:color="0066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5FF" w:themeFill="accent1" w:themeFillTint="3F"/>
      </w:tcPr>
    </w:tblStylePr>
    <w:tblStylePr w:type="band1Horz">
      <w:tblPr/>
      <w:tcPr>
        <w:tcBorders>
          <w:top w:val="nil"/>
          <w:bottom w:val="nil"/>
          <w:insideH w:val="nil"/>
          <w:insideV w:val="nil"/>
        </w:tcBorders>
        <w:shd w:val="clear" w:color="auto" w:fill="A4E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6EA9BF" w:themeColor="accent2"/>
        <w:left w:val="single" w:sz="8" w:space="0" w:color="6EA9BF" w:themeColor="accent2"/>
        <w:bottom w:val="single" w:sz="8" w:space="0" w:color="6EA9BF" w:themeColor="accent2"/>
        <w:right w:val="single" w:sz="8" w:space="0" w:color="6EA9BF" w:themeColor="accent2"/>
      </w:tblBorders>
    </w:tblPr>
    <w:tblStylePr w:type="firstRow">
      <w:rPr>
        <w:sz w:val="24"/>
        <w:szCs w:val="24"/>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tblPr/>
      <w:tcPr>
        <w:tcBorders>
          <w:top w:val="single" w:sz="8" w:space="0" w:color="6EA9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9BF" w:themeColor="accent2"/>
          <w:insideH w:val="nil"/>
          <w:insideV w:val="nil"/>
        </w:tcBorders>
        <w:shd w:val="clear" w:color="auto" w:fill="FFFFFF" w:themeFill="background1"/>
      </w:tcPr>
    </w:tblStylePr>
    <w:tblStylePr w:type="lastCol">
      <w:tblPr/>
      <w:tcPr>
        <w:tcBorders>
          <w:top w:val="nil"/>
          <w:left w:val="single" w:sz="8" w:space="0" w:color="6EA9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9EF" w:themeFill="accent2" w:themeFillTint="3F"/>
      </w:tcPr>
    </w:tblStylePr>
    <w:tblStylePr w:type="band1Horz">
      <w:tblPr/>
      <w:tcPr>
        <w:tcBorders>
          <w:top w:val="nil"/>
          <w:bottom w:val="nil"/>
          <w:insideH w:val="nil"/>
          <w:insideV w:val="nil"/>
        </w:tcBorders>
        <w:shd w:val="clear" w:color="auto" w:fill="DBE9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C5DCE7" w:themeColor="accent3"/>
        <w:left w:val="single" w:sz="8" w:space="0" w:color="C5DCE7" w:themeColor="accent3"/>
        <w:bottom w:val="single" w:sz="8" w:space="0" w:color="C5DCE7" w:themeColor="accent3"/>
        <w:right w:val="single" w:sz="8" w:space="0" w:color="C5DCE7" w:themeColor="accent3"/>
      </w:tblBorders>
    </w:tblPr>
    <w:tblStylePr w:type="firstRow">
      <w:rPr>
        <w:sz w:val="24"/>
        <w:szCs w:val="24"/>
      </w:rPr>
      <w:tblPr/>
      <w:tcPr>
        <w:tcBorders>
          <w:top w:val="nil"/>
          <w:left w:val="nil"/>
          <w:bottom w:val="single" w:sz="24" w:space="0" w:color="C5DCE7" w:themeColor="accent3"/>
          <w:right w:val="nil"/>
          <w:insideH w:val="nil"/>
          <w:insideV w:val="nil"/>
        </w:tcBorders>
        <w:shd w:val="clear" w:color="auto" w:fill="FFFFFF" w:themeFill="background1"/>
      </w:tcPr>
    </w:tblStylePr>
    <w:tblStylePr w:type="lastRow">
      <w:tblPr/>
      <w:tcPr>
        <w:tcBorders>
          <w:top w:val="single" w:sz="8" w:space="0" w:color="C5DCE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DCE7" w:themeColor="accent3"/>
          <w:insideH w:val="nil"/>
          <w:insideV w:val="nil"/>
        </w:tcBorders>
        <w:shd w:val="clear" w:color="auto" w:fill="FFFFFF" w:themeFill="background1"/>
      </w:tcPr>
    </w:tblStylePr>
    <w:tblStylePr w:type="lastCol">
      <w:tblPr/>
      <w:tcPr>
        <w:tcBorders>
          <w:top w:val="nil"/>
          <w:left w:val="single" w:sz="8" w:space="0" w:color="C5DC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6F9" w:themeFill="accent3" w:themeFillTint="3F"/>
      </w:tcPr>
    </w:tblStylePr>
    <w:tblStylePr w:type="band1Horz">
      <w:tblPr/>
      <w:tcPr>
        <w:tcBorders>
          <w:top w:val="nil"/>
          <w:bottom w:val="nil"/>
          <w:insideH w:val="nil"/>
          <w:insideV w:val="nil"/>
        </w:tcBorders>
        <w:shd w:val="clear" w:color="auto" w:fill="F0F6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8C949E" w:themeColor="accent4"/>
        <w:left w:val="single" w:sz="8" w:space="0" w:color="8C949E" w:themeColor="accent4"/>
        <w:bottom w:val="single" w:sz="8" w:space="0" w:color="8C949E" w:themeColor="accent4"/>
        <w:right w:val="single" w:sz="8" w:space="0" w:color="8C949E" w:themeColor="accent4"/>
      </w:tblBorders>
    </w:tblPr>
    <w:tblStylePr w:type="firstRow">
      <w:rPr>
        <w:sz w:val="24"/>
        <w:szCs w:val="24"/>
      </w:rPr>
      <w:tblPr/>
      <w:tcPr>
        <w:tcBorders>
          <w:top w:val="nil"/>
          <w:left w:val="nil"/>
          <w:bottom w:val="single" w:sz="24" w:space="0" w:color="8C949E" w:themeColor="accent4"/>
          <w:right w:val="nil"/>
          <w:insideH w:val="nil"/>
          <w:insideV w:val="nil"/>
        </w:tcBorders>
        <w:shd w:val="clear" w:color="auto" w:fill="FFFFFF" w:themeFill="background1"/>
      </w:tcPr>
    </w:tblStylePr>
    <w:tblStylePr w:type="lastRow">
      <w:tblPr/>
      <w:tcPr>
        <w:tcBorders>
          <w:top w:val="single" w:sz="8" w:space="0" w:color="8C949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949E" w:themeColor="accent4"/>
          <w:insideH w:val="nil"/>
          <w:insideV w:val="nil"/>
        </w:tcBorders>
        <w:shd w:val="clear" w:color="auto" w:fill="FFFFFF" w:themeFill="background1"/>
      </w:tcPr>
    </w:tblStylePr>
    <w:tblStylePr w:type="lastCol">
      <w:tblPr/>
      <w:tcPr>
        <w:tcBorders>
          <w:top w:val="nil"/>
          <w:left w:val="single" w:sz="8" w:space="0" w:color="8C949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4E7" w:themeFill="accent4" w:themeFillTint="3F"/>
      </w:tcPr>
    </w:tblStylePr>
    <w:tblStylePr w:type="band1Horz">
      <w:tblPr/>
      <w:tcPr>
        <w:tcBorders>
          <w:top w:val="nil"/>
          <w:bottom w:val="nil"/>
          <w:insideH w:val="nil"/>
          <w:insideV w:val="nil"/>
        </w:tcBorders>
        <w:shd w:val="clear" w:color="auto" w:fill="E2E4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C52B1A" w:themeColor="accent5"/>
        <w:left w:val="single" w:sz="8" w:space="0" w:color="C52B1A" w:themeColor="accent5"/>
        <w:bottom w:val="single" w:sz="8" w:space="0" w:color="C52B1A" w:themeColor="accent5"/>
        <w:right w:val="single" w:sz="8" w:space="0" w:color="C52B1A" w:themeColor="accent5"/>
      </w:tblBorders>
    </w:tblPr>
    <w:tblStylePr w:type="firstRow">
      <w:rPr>
        <w:sz w:val="24"/>
        <w:szCs w:val="24"/>
      </w:rPr>
      <w:tblPr/>
      <w:tcPr>
        <w:tcBorders>
          <w:top w:val="nil"/>
          <w:left w:val="nil"/>
          <w:bottom w:val="single" w:sz="24" w:space="0" w:color="C52B1A" w:themeColor="accent5"/>
          <w:right w:val="nil"/>
          <w:insideH w:val="nil"/>
          <w:insideV w:val="nil"/>
        </w:tcBorders>
        <w:shd w:val="clear" w:color="auto" w:fill="FFFFFF" w:themeFill="background1"/>
      </w:tcPr>
    </w:tblStylePr>
    <w:tblStylePr w:type="lastRow">
      <w:tblPr/>
      <w:tcPr>
        <w:tcBorders>
          <w:top w:val="single" w:sz="8" w:space="0" w:color="C52B1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2B1A" w:themeColor="accent5"/>
          <w:insideH w:val="nil"/>
          <w:insideV w:val="nil"/>
        </w:tcBorders>
        <w:shd w:val="clear" w:color="auto" w:fill="FFFFFF" w:themeFill="background1"/>
      </w:tcPr>
    </w:tblStylePr>
    <w:tblStylePr w:type="lastCol">
      <w:tblPr/>
      <w:tcPr>
        <w:tcBorders>
          <w:top w:val="nil"/>
          <w:left w:val="single" w:sz="8" w:space="0" w:color="C52B1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5C0" w:themeFill="accent5" w:themeFillTint="3F"/>
      </w:tcPr>
    </w:tblStylePr>
    <w:tblStylePr w:type="band1Horz">
      <w:tblPr/>
      <w:tcPr>
        <w:tcBorders>
          <w:top w:val="nil"/>
          <w:bottom w:val="nil"/>
          <w:insideH w:val="nil"/>
          <w:insideV w:val="nil"/>
        </w:tcBorders>
        <w:shd w:val="clear" w:color="auto" w:fill="F6C5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A0EFE"/>
    <w:rPr>
      <w:rFonts w:asciiTheme="majorHAnsi" w:eastAsiaTheme="majorEastAsia" w:hAnsiTheme="majorHAnsi" w:cstheme="majorBidi"/>
      <w:color w:val="000000" w:themeColor="text1"/>
    </w:rPr>
    <w:tblPr>
      <w:tblStyleRowBandSize w:val="1"/>
      <w:tblStyleColBandSize w:val="1"/>
      <w:tblBorders>
        <w:top w:val="single" w:sz="8" w:space="0" w:color="DB0B51" w:themeColor="accent6"/>
        <w:left w:val="single" w:sz="8" w:space="0" w:color="DB0B51" w:themeColor="accent6"/>
        <w:bottom w:val="single" w:sz="8" w:space="0" w:color="DB0B51" w:themeColor="accent6"/>
        <w:right w:val="single" w:sz="8" w:space="0" w:color="DB0B51" w:themeColor="accent6"/>
      </w:tblBorders>
    </w:tblPr>
    <w:tblStylePr w:type="firstRow">
      <w:rPr>
        <w:sz w:val="24"/>
        <w:szCs w:val="24"/>
      </w:rPr>
      <w:tblPr/>
      <w:tcPr>
        <w:tcBorders>
          <w:top w:val="nil"/>
          <w:left w:val="nil"/>
          <w:bottom w:val="single" w:sz="24" w:space="0" w:color="DB0B51" w:themeColor="accent6"/>
          <w:right w:val="nil"/>
          <w:insideH w:val="nil"/>
          <w:insideV w:val="nil"/>
        </w:tcBorders>
        <w:shd w:val="clear" w:color="auto" w:fill="FFFFFF" w:themeFill="background1"/>
      </w:tcPr>
    </w:tblStylePr>
    <w:tblStylePr w:type="lastRow">
      <w:tblPr/>
      <w:tcPr>
        <w:tcBorders>
          <w:top w:val="single" w:sz="8" w:space="0" w:color="DB0B5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0B51" w:themeColor="accent6"/>
          <w:insideH w:val="nil"/>
          <w:insideV w:val="nil"/>
        </w:tcBorders>
        <w:shd w:val="clear" w:color="auto" w:fill="FFFFFF" w:themeFill="background1"/>
      </w:tcPr>
    </w:tblStylePr>
    <w:tblStylePr w:type="lastCol">
      <w:tblPr/>
      <w:tcPr>
        <w:tcBorders>
          <w:top w:val="nil"/>
          <w:left w:val="single" w:sz="8" w:space="0" w:color="DB0B5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BCD1" w:themeFill="accent6" w:themeFillTint="3F"/>
      </w:tcPr>
    </w:tblStylePr>
    <w:tblStylePr w:type="band1Horz">
      <w:tblPr/>
      <w:tcPr>
        <w:tcBorders>
          <w:top w:val="nil"/>
          <w:bottom w:val="nil"/>
          <w:insideH w:val="nil"/>
          <w:insideV w:val="nil"/>
        </w:tcBorders>
        <w:shd w:val="clear" w:color="auto" w:fill="FBBC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A0EF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A0EFE"/>
    <w:tblPr>
      <w:tblStyleRowBandSize w:val="1"/>
      <w:tblStyleColBandSize w:val="1"/>
      <w:tbl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single" w:sz="8" w:space="0" w:color="00A8EA" w:themeColor="accent1" w:themeTint="BF"/>
      </w:tblBorders>
    </w:tblPr>
    <w:tblStylePr w:type="firstRow">
      <w:pPr>
        <w:spacing w:before="0" w:after="0" w:line="240" w:lineRule="auto"/>
      </w:pPr>
      <w:rPr>
        <w:b/>
        <w:bCs/>
        <w:color w:val="FFFFFF" w:themeColor="background1"/>
      </w:rPr>
      <w:tblPr/>
      <w:tcPr>
        <w:tc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shd w:val="clear" w:color="auto" w:fill="00668E" w:themeFill="accent1"/>
      </w:tcPr>
    </w:tblStylePr>
    <w:tblStylePr w:type="lastRow">
      <w:pPr>
        <w:spacing w:before="0" w:after="0" w:line="240" w:lineRule="auto"/>
      </w:pPr>
      <w:rPr>
        <w:b/>
        <w:bCs/>
      </w:rPr>
      <w:tblPr/>
      <w:tcPr>
        <w:tcBorders>
          <w:top w:val="double" w:sz="6"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5FF" w:themeFill="accent1" w:themeFillTint="3F"/>
      </w:tcPr>
    </w:tblStylePr>
    <w:tblStylePr w:type="band1Horz">
      <w:tblPr/>
      <w:tcPr>
        <w:tcBorders>
          <w:insideH w:val="nil"/>
          <w:insideV w:val="nil"/>
        </w:tcBorders>
        <w:shd w:val="clear" w:color="auto" w:fill="A4E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0EFE"/>
    <w:tblPr>
      <w:tblStyleRowBandSize w:val="1"/>
      <w:tblStyleColBandSize w:val="1"/>
      <w:tblBorders>
        <w:top w:val="single" w:sz="8"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single" w:sz="8" w:space="0" w:color="92BECF" w:themeColor="accent2" w:themeTint="BF"/>
      </w:tblBorders>
    </w:tblPr>
    <w:tblStylePr w:type="firstRow">
      <w:pPr>
        <w:spacing w:before="0" w:after="0" w:line="240" w:lineRule="auto"/>
      </w:pPr>
      <w:rPr>
        <w:b/>
        <w:bCs/>
        <w:color w:val="FFFFFF" w:themeColor="background1"/>
      </w:rPr>
      <w:tblPr/>
      <w:tcPr>
        <w:tcBorders>
          <w:top w:val="single" w:sz="8"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nil"/>
          <w:insideV w:val="nil"/>
        </w:tcBorders>
        <w:shd w:val="clear" w:color="auto" w:fill="6EA9BF" w:themeFill="accent2"/>
      </w:tcPr>
    </w:tblStylePr>
    <w:tblStylePr w:type="lastRow">
      <w:pPr>
        <w:spacing w:before="0" w:after="0" w:line="240" w:lineRule="auto"/>
      </w:pPr>
      <w:rPr>
        <w:b/>
        <w:bCs/>
      </w:rPr>
      <w:tblPr/>
      <w:tcPr>
        <w:tcBorders>
          <w:top w:val="double" w:sz="6" w:space="0" w:color="92BECF" w:themeColor="accent2" w:themeTint="BF"/>
          <w:left w:val="single" w:sz="8" w:space="0" w:color="92BECF" w:themeColor="accent2" w:themeTint="BF"/>
          <w:bottom w:val="single" w:sz="8" w:space="0" w:color="92BECF" w:themeColor="accent2" w:themeTint="BF"/>
          <w:right w:val="single" w:sz="8" w:space="0" w:color="92BE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9EF" w:themeFill="accent2" w:themeFillTint="3F"/>
      </w:tcPr>
    </w:tblStylePr>
    <w:tblStylePr w:type="band1Horz">
      <w:tblPr/>
      <w:tcPr>
        <w:tcBorders>
          <w:insideH w:val="nil"/>
          <w:insideV w:val="nil"/>
        </w:tcBorders>
        <w:shd w:val="clear" w:color="auto" w:fill="DBE9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0EFE"/>
    <w:tblPr>
      <w:tblStyleRowBandSize w:val="1"/>
      <w:tblStyleColBandSize w:val="1"/>
      <w:tblBorders>
        <w:top w:val="single" w:sz="8"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single" w:sz="8" w:space="0" w:color="D3E4ED" w:themeColor="accent3" w:themeTint="BF"/>
      </w:tblBorders>
    </w:tblPr>
    <w:tblStylePr w:type="firstRow">
      <w:pPr>
        <w:spacing w:before="0" w:after="0" w:line="240" w:lineRule="auto"/>
      </w:pPr>
      <w:rPr>
        <w:b/>
        <w:bCs/>
        <w:color w:val="FFFFFF" w:themeColor="background1"/>
      </w:rPr>
      <w:tblPr/>
      <w:tcPr>
        <w:tcBorders>
          <w:top w:val="single" w:sz="8"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nil"/>
          <w:insideV w:val="nil"/>
        </w:tcBorders>
        <w:shd w:val="clear" w:color="auto" w:fill="C5DCE7" w:themeFill="accent3"/>
      </w:tcPr>
    </w:tblStylePr>
    <w:tblStylePr w:type="lastRow">
      <w:pPr>
        <w:spacing w:before="0" w:after="0" w:line="240" w:lineRule="auto"/>
      </w:pPr>
      <w:rPr>
        <w:b/>
        <w:bCs/>
      </w:rPr>
      <w:tblPr/>
      <w:tcPr>
        <w:tcBorders>
          <w:top w:val="double" w:sz="6" w:space="0" w:color="D3E4ED" w:themeColor="accent3" w:themeTint="BF"/>
          <w:left w:val="single" w:sz="8" w:space="0" w:color="D3E4ED" w:themeColor="accent3" w:themeTint="BF"/>
          <w:bottom w:val="single" w:sz="8" w:space="0" w:color="D3E4ED" w:themeColor="accent3" w:themeTint="BF"/>
          <w:right w:val="single" w:sz="8" w:space="0" w:color="D3E4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0F6F9" w:themeFill="accent3" w:themeFillTint="3F"/>
      </w:tcPr>
    </w:tblStylePr>
    <w:tblStylePr w:type="band1Horz">
      <w:tblPr/>
      <w:tcPr>
        <w:tcBorders>
          <w:insideH w:val="nil"/>
          <w:insideV w:val="nil"/>
        </w:tcBorders>
        <w:shd w:val="clear" w:color="auto" w:fill="F0F6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0EFE"/>
    <w:tblPr>
      <w:tblStyleRowBandSize w:val="1"/>
      <w:tblStyleColBandSize w:val="1"/>
      <w:tblBorders>
        <w:top w:val="single" w:sz="8"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single" w:sz="8" w:space="0" w:color="A8AEB6" w:themeColor="accent4" w:themeTint="BF"/>
      </w:tblBorders>
    </w:tblPr>
    <w:tblStylePr w:type="firstRow">
      <w:pPr>
        <w:spacing w:before="0" w:after="0" w:line="240" w:lineRule="auto"/>
      </w:pPr>
      <w:rPr>
        <w:b/>
        <w:bCs/>
        <w:color w:val="FFFFFF" w:themeColor="background1"/>
      </w:rPr>
      <w:tblPr/>
      <w:tcPr>
        <w:tcBorders>
          <w:top w:val="single" w:sz="8"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nil"/>
          <w:insideV w:val="nil"/>
        </w:tcBorders>
        <w:shd w:val="clear" w:color="auto" w:fill="8C949E" w:themeFill="accent4"/>
      </w:tcPr>
    </w:tblStylePr>
    <w:tblStylePr w:type="lastRow">
      <w:pPr>
        <w:spacing w:before="0" w:after="0" w:line="240" w:lineRule="auto"/>
      </w:pPr>
      <w:rPr>
        <w:b/>
        <w:bCs/>
      </w:rPr>
      <w:tblPr/>
      <w:tcPr>
        <w:tcBorders>
          <w:top w:val="double" w:sz="6" w:space="0" w:color="A8AEB6" w:themeColor="accent4" w:themeTint="BF"/>
          <w:left w:val="single" w:sz="8" w:space="0" w:color="A8AEB6" w:themeColor="accent4" w:themeTint="BF"/>
          <w:bottom w:val="single" w:sz="8" w:space="0" w:color="A8AEB6" w:themeColor="accent4" w:themeTint="BF"/>
          <w:right w:val="single" w:sz="8" w:space="0" w:color="A8A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4E7" w:themeFill="accent4" w:themeFillTint="3F"/>
      </w:tcPr>
    </w:tblStylePr>
    <w:tblStylePr w:type="band1Horz">
      <w:tblPr/>
      <w:tcPr>
        <w:tcBorders>
          <w:insideH w:val="nil"/>
          <w:insideV w:val="nil"/>
        </w:tcBorders>
        <w:shd w:val="clear" w:color="auto" w:fill="E2E4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0EFE"/>
    <w:tblPr>
      <w:tblStyleRowBandSize w:val="1"/>
      <w:tblStyleColBandSize w:val="1"/>
      <w:tblBorders>
        <w:top w:val="single" w:sz="8"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single" w:sz="8" w:space="0" w:color="E65141" w:themeColor="accent5" w:themeTint="BF"/>
      </w:tblBorders>
    </w:tblPr>
    <w:tblStylePr w:type="firstRow">
      <w:pPr>
        <w:spacing w:before="0" w:after="0" w:line="240" w:lineRule="auto"/>
      </w:pPr>
      <w:rPr>
        <w:b/>
        <w:bCs/>
        <w:color w:val="FFFFFF" w:themeColor="background1"/>
      </w:rPr>
      <w:tblPr/>
      <w:tcPr>
        <w:tcBorders>
          <w:top w:val="single" w:sz="8"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nil"/>
          <w:insideV w:val="nil"/>
        </w:tcBorders>
        <w:shd w:val="clear" w:color="auto" w:fill="C52B1A" w:themeFill="accent5"/>
      </w:tcPr>
    </w:tblStylePr>
    <w:tblStylePr w:type="lastRow">
      <w:pPr>
        <w:spacing w:before="0" w:after="0" w:line="240" w:lineRule="auto"/>
      </w:pPr>
      <w:rPr>
        <w:b/>
        <w:bCs/>
      </w:rPr>
      <w:tblPr/>
      <w:tcPr>
        <w:tcBorders>
          <w:top w:val="double" w:sz="6" w:space="0" w:color="E65141" w:themeColor="accent5" w:themeTint="BF"/>
          <w:left w:val="single" w:sz="8" w:space="0" w:color="E65141" w:themeColor="accent5" w:themeTint="BF"/>
          <w:bottom w:val="single" w:sz="8" w:space="0" w:color="E65141" w:themeColor="accent5" w:themeTint="BF"/>
          <w:right w:val="single" w:sz="8" w:space="0" w:color="E651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5C0" w:themeFill="accent5" w:themeFillTint="3F"/>
      </w:tcPr>
    </w:tblStylePr>
    <w:tblStylePr w:type="band1Horz">
      <w:tblPr/>
      <w:tcPr>
        <w:tcBorders>
          <w:insideH w:val="nil"/>
          <w:insideV w:val="nil"/>
        </w:tcBorders>
        <w:shd w:val="clear" w:color="auto" w:fill="F6C5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0EFE"/>
    <w:tblPr>
      <w:tblStyleRowBandSize w:val="1"/>
      <w:tblStyleColBandSize w:val="1"/>
      <w:tblBorders>
        <w:top w:val="single" w:sz="8"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single" w:sz="8" w:space="0" w:color="F53776" w:themeColor="accent6" w:themeTint="BF"/>
      </w:tblBorders>
    </w:tblPr>
    <w:tblStylePr w:type="firstRow">
      <w:pPr>
        <w:spacing w:before="0" w:after="0" w:line="240" w:lineRule="auto"/>
      </w:pPr>
      <w:rPr>
        <w:b/>
        <w:bCs/>
        <w:color w:val="FFFFFF" w:themeColor="background1"/>
      </w:rPr>
      <w:tblPr/>
      <w:tcPr>
        <w:tcBorders>
          <w:top w:val="single" w:sz="8"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nil"/>
          <w:insideV w:val="nil"/>
        </w:tcBorders>
        <w:shd w:val="clear" w:color="auto" w:fill="DB0B51" w:themeFill="accent6"/>
      </w:tcPr>
    </w:tblStylePr>
    <w:tblStylePr w:type="lastRow">
      <w:pPr>
        <w:spacing w:before="0" w:after="0" w:line="240" w:lineRule="auto"/>
      </w:pPr>
      <w:rPr>
        <w:b/>
        <w:bCs/>
      </w:rPr>
      <w:tblPr/>
      <w:tcPr>
        <w:tcBorders>
          <w:top w:val="double" w:sz="6" w:space="0" w:color="F53776" w:themeColor="accent6" w:themeTint="BF"/>
          <w:left w:val="single" w:sz="8" w:space="0" w:color="F53776" w:themeColor="accent6" w:themeTint="BF"/>
          <w:bottom w:val="single" w:sz="8" w:space="0" w:color="F53776" w:themeColor="accent6" w:themeTint="BF"/>
          <w:right w:val="single" w:sz="8" w:space="0" w:color="F537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BCD1" w:themeFill="accent6" w:themeFillTint="3F"/>
      </w:tcPr>
    </w:tblStylePr>
    <w:tblStylePr w:type="band1Horz">
      <w:tblPr/>
      <w:tcPr>
        <w:tcBorders>
          <w:insideH w:val="nil"/>
          <w:insideV w:val="nil"/>
        </w:tcBorders>
        <w:shd w:val="clear" w:color="auto" w:fill="FBBC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8E" w:themeFill="accent1"/>
      </w:tcPr>
    </w:tblStylePr>
    <w:tblStylePr w:type="lastCol">
      <w:rPr>
        <w:b/>
        <w:bCs/>
        <w:color w:val="FFFFFF" w:themeColor="background1"/>
      </w:rPr>
      <w:tblPr/>
      <w:tcPr>
        <w:tcBorders>
          <w:left w:val="nil"/>
          <w:right w:val="nil"/>
          <w:insideH w:val="nil"/>
          <w:insideV w:val="nil"/>
        </w:tcBorders>
        <w:shd w:val="clear" w:color="auto" w:fill="0066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9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A9BF" w:themeFill="accent2"/>
      </w:tcPr>
    </w:tblStylePr>
    <w:tblStylePr w:type="lastCol">
      <w:rPr>
        <w:b/>
        <w:bCs/>
        <w:color w:val="FFFFFF" w:themeColor="background1"/>
      </w:rPr>
      <w:tblPr/>
      <w:tcPr>
        <w:tcBorders>
          <w:left w:val="nil"/>
          <w:right w:val="nil"/>
          <w:insideH w:val="nil"/>
          <w:insideV w:val="nil"/>
        </w:tcBorders>
        <w:shd w:val="clear" w:color="auto" w:fill="6EA9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DC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DCE7" w:themeFill="accent3"/>
      </w:tcPr>
    </w:tblStylePr>
    <w:tblStylePr w:type="lastCol">
      <w:rPr>
        <w:b/>
        <w:bCs/>
        <w:color w:val="FFFFFF" w:themeColor="background1"/>
      </w:rPr>
      <w:tblPr/>
      <w:tcPr>
        <w:tcBorders>
          <w:left w:val="nil"/>
          <w:right w:val="nil"/>
          <w:insideH w:val="nil"/>
          <w:insideV w:val="nil"/>
        </w:tcBorders>
        <w:shd w:val="clear" w:color="auto" w:fill="C5DC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949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949E" w:themeFill="accent4"/>
      </w:tcPr>
    </w:tblStylePr>
    <w:tblStylePr w:type="lastCol">
      <w:rPr>
        <w:b/>
        <w:bCs/>
        <w:color w:val="FFFFFF" w:themeColor="background1"/>
      </w:rPr>
      <w:tblPr/>
      <w:tcPr>
        <w:tcBorders>
          <w:left w:val="nil"/>
          <w:right w:val="nil"/>
          <w:insideH w:val="nil"/>
          <w:insideV w:val="nil"/>
        </w:tcBorders>
        <w:shd w:val="clear" w:color="auto" w:fill="8C949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2B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2B1A" w:themeFill="accent5"/>
      </w:tcPr>
    </w:tblStylePr>
    <w:tblStylePr w:type="lastCol">
      <w:rPr>
        <w:b/>
        <w:bCs/>
        <w:color w:val="FFFFFF" w:themeColor="background1"/>
      </w:rPr>
      <w:tblPr/>
      <w:tcPr>
        <w:tcBorders>
          <w:left w:val="nil"/>
          <w:right w:val="nil"/>
          <w:insideH w:val="nil"/>
          <w:insideV w:val="nil"/>
        </w:tcBorders>
        <w:shd w:val="clear" w:color="auto" w:fill="C52B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0EF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0B5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0B51" w:themeFill="accent6"/>
      </w:tcPr>
    </w:tblStylePr>
    <w:tblStylePr w:type="lastCol">
      <w:rPr>
        <w:b/>
        <w:bCs/>
        <w:color w:val="FFFFFF" w:themeColor="background1"/>
      </w:rPr>
      <w:tblPr/>
      <w:tcPr>
        <w:tcBorders>
          <w:left w:val="nil"/>
          <w:right w:val="nil"/>
          <w:insideH w:val="nil"/>
          <w:insideV w:val="nil"/>
        </w:tcBorders>
        <w:shd w:val="clear" w:color="auto" w:fill="DB0B5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29"/>
    <w:semiHidden/>
    <w:rsid w:val="00DA0E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29"/>
    <w:semiHidden/>
    <w:rsid w:val="00DA0EFE"/>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DA0EFE"/>
    <w:rPr>
      <w:rFonts w:ascii="Arial" w:hAnsi="Arial"/>
      <w:szCs w:val="24"/>
      <w:lang w:val="en-GB"/>
    </w:rPr>
  </w:style>
  <w:style w:type="paragraph" w:styleId="NormalWeb">
    <w:name w:val="Normal (Web)"/>
    <w:basedOn w:val="Normal"/>
    <w:uiPriority w:val="29"/>
    <w:semiHidden/>
    <w:rsid w:val="00DA0EFE"/>
    <w:rPr>
      <w:rFonts w:ascii="Times New Roman" w:hAnsi="Times New Roman"/>
      <w:sz w:val="24"/>
    </w:rPr>
  </w:style>
  <w:style w:type="paragraph" w:styleId="NormalIndent">
    <w:name w:val="Normal Indent"/>
    <w:basedOn w:val="Normal"/>
    <w:uiPriority w:val="29"/>
    <w:semiHidden/>
    <w:rsid w:val="00DA0EFE"/>
    <w:pPr>
      <w:ind w:left="720"/>
    </w:pPr>
  </w:style>
  <w:style w:type="paragraph" w:styleId="NoteHeading">
    <w:name w:val="Note Heading"/>
    <w:basedOn w:val="Normal"/>
    <w:next w:val="Normal"/>
    <w:link w:val="NoteHeadingChar"/>
    <w:uiPriority w:val="29"/>
    <w:semiHidden/>
    <w:rsid w:val="00DA0EFE"/>
  </w:style>
  <w:style w:type="character" w:customStyle="1" w:styleId="NoteHeadingChar">
    <w:name w:val="Note Heading Char"/>
    <w:basedOn w:val="DefaultParagraphFont"/>
    <w:link w:val="NoteHeading"/>
    <w:uiPriority w:val="29"/>
    <w:semiHidden/>
    <w:rsid w:val="00DA0EFE"/>
    <w:rPr>
      <w:rFonts w:ascii="Calibri" w:hAnsi="Calibri"/>
      <w:sz w:val="22"/>
      <w:szCs w:val="24"/>
    </w:rPr>
  </w:style>
  <w:style w:type="paragraph" w:styleId="PlainText">
    <w:name w:val="Plain Text"/>
    <w:basedOn w:val="Normal"/>
    <w:link w:val="PlainTextChar"/>
    <w:uiPriority w:val="29"/>
    <w:semiHidden/>
    <w:rsid w:val="00DA0EFE"/>
    <w:rPr>
      <w:rFonts w:ascii="Consolas" w:hAnsi="Consolas" w:cs="Consolas"/>
      <w:sz w:val="21"/>
      <w:szCs w:val="21"/>
    </w:rPr>
  </w:style>
  <w:style w:type="character" w:customStyle="1" w:styleId="PlainTextChar">
    <w:name w:val="Plain Text Char"/>
    <w:basedOn w:val="DefaultParagraphFont"/>
    <w:link w:val="PlainText"/>
    <w:uiPriority w:val="29"/>
    <w:semiHidden/>
    <w:rsid w:val="00DA0EFE"/>
    <w:rPr>
      <w:rFonts w:ascii="Consolas" w:hAnsi="Consolas" w:cs="Consolas"/>
      <w:sz w:val="21"/>
      <w:szCs w:val="21"/>
    </w:rPr>
  </w:style>
  <w:style w:type="paragraph" w:styleId="Quote">
    <w:name w:val="Quote"/>
    <w:basedOn w:val="Normal"/>
    <w:next w:val="Normal"/>
    <w:link w:val="QuoteChar"/>
    <w:uiPriority w:val="29"/>
    <w:semiHidden/>
    <w:rsid w:val="00DA0EFE"/>
    <w:rPr>
      <w:i/>
      <w:iCs/>
      <w:color w:val="000000" w:themeColor="text1"/>
    </w:rPr>
  </w:style>
  <w:style w:type="character" w:customStyle="1" w:styleId="QuoteChar">
    <w:name w:val="Quote Char"/>
    <w:basedOn w:val="DefaultParagraphFont"/>
    <w:link w:val="Quote"/>
    <w:uiPriority w:val="29"/>
    <w:semiHidden/>
    <w:rsid w:val="00DA0EFE"/>
    <w:rPr>
      <w:rFonts w:ascii="Calibri" w:hAnsi="Calibri"/>
      <w:i/>
      <w:iCs/>
      <w:color w:val="000000" w:themeColor="text1"/>
      <w:sz w:val="22"/>
      <w:szCs w:val="24"/>
    </w:rPr>
  </w:style>
  <w:style w:type="paragraph" w:styleId="Salutation">
    <w:name w:val="Salutation"/>
    <w:basedOn w:val="Normal"/>
    <w:next w:val="Normal"/>
    <w:link w:val="SalutationChar"/>
    <w:uiPriority w:val="29"/>
    <w:semiHidden/>
    <w:rsid w:val="00DA0EFE"/>
  </w:style>
  <w:style w:type="character" w:customStyle="1" w:styleId="SalutationChar">
    <w:name w:val="Salutation Char"/>
    <w:basedOn w:val="DefaultParagraphFont"/>
    <w:link w:val="Salutation"/>
    <w:uiPriority w:val="29"/>
    <w:semiHidden/>
    <w:rsid w:val="00DA0EFE"/>
    <w:rPr>
      <w:rFonts w:ascii="Calibri" w:hAnsi="Calibri"/>
      <w:sz w:val="22"/>
      <w:szCs w:val="24"/>
    </w:rPr>
  </w:style>
  <w:style w:type="paragraph" w:styleId="Signature">
    <w:name w:val="Signature"/>
    <w:basedOn w:val="Normal"/>
    <w:link w:val="SignatureChar"/>
    <w:uiPriority w:val="29"/>
    <w:semiHidden/>
    <w:rsid w:val="00DA0EFE"/>
    <w:pPr>
      <w:ind w:left="4252"/>
    </w:pPr>
  </w:style>
  <w:style w:type="character" w:customStyle="1" w:styleId="SignatureChar">
    <w:name w:val="Signature Char"/>
    <w:basedOn w:val="DefaultParagraphFont"/>
    <w:link w:val="Signature"/>
    <w:uiPriority w:val="29"/>
    <w:semiHidden/>
    <w:rsid w:val="00DA0EFE"/>
    <w:rPr>
      <w:rFonts w:ascii="Calibri" w:hAnsi="Calibri"/>
      <w:sz w:val="22"/>
      <w:szCs w:val="24"/>
    </w:rPr>
  </w:style>
  <w:style w:type="character" w:styleId="Strong">
    <w:name w:val="Strong"/>
    <w:basedOn w:val="DefaultParagraphFont"/>
    <w:uiPriority w:val="29"/>
    <w:semiHidden/>
    <w:rsid w:val="00DA0EFE"/>
    <w:rPr>
      <w:b/>
      <w:bCs/>
    </w:rPr>
  </w:style>
  <w:style w:type="paragraph" w:styleId="Subtitle">
    <w:name w:val="Subtitle"/>
    <w:basedOn w:val="Normal"/>
    <w:next w:val="Normal"/>
    <w:link w:val="SubtitleChar"/>
    <w:uiPriority w:val="29"/>
    <w:semiHidden/>
    <w:rsid w:val="00DA0EFE"/>
    <w:pPr>
      <w:numPr>
        <w:ilvl w:val="1"/>
      </w:numPr>
    </w:pPr>
    <w:rPr>
      <w:rFonts w:asciiTheme="majorHAnsi" w:eastAsiaTheme="majorEastAsia" w:hAnsiTheme="majorHAnsi" w:cstheme="majorBidi"/>
      <w:i/>
      <w:iCs/>
      <w:color w:val="00668E" w:themeColor="accent1"/>
      <w:spacing w:val="15"/>
      <w:sz w:val="24"/>
    </w:rPr>
  </w:style>
  <w:style w:type="character" w:customStyle="1" w:styleId="SubtitleChar">
    <w:name w:val="Subtitle Char"/>
    <w:basedOn w:val="DefaultParagraphFont"/>
    <w:link w:val="Subtitle"/>
    <w:uiPriority w:val="29"/>
    <w:semiHidden/>
    <w:rsid w:val="00DA0EFE"/>
    <w:rPr>
      <w:rFonts w:asciiTheme="majorHAnsi" w:eastAsiaTheme="majorEastAsia" w:hAnsiTheme="majorHAnsi" w:cstheme="majorBidi"/>
      <w:i/>
      <w:iCs/>
      <w:color w:val="00668E" w:themeColor="accent1"/>
      <w:spacing w:val="15"/>
      <w:sz w:val="24"/>
      <w:szCs w:val="24"/>
    </w:rPr>
  </w:style>
  <w:style w:type="character" w:styleId="SubtleEmphasis">
    <w:name w:val="Subtle Emphasis"/>
    <w:basedOn w:val="DefaultParagraphFont"/>
    <w:uiPriority w:val="29"/>
    <w:semiHidden/>
    <w:rsid w:val="00DA0EFE"/>
    <w:rPr>
      <w:i/>
      <w:iCs/>
      <w:color w:val="808080" w:themeColor="text1" w:themeTint="7F"/>
    </w:rPr>
  </w:style>
  <w:style w:type="character" w:styleId="SubtleReference">
    <w:name w:val="Subtle Reference"/>
    <w:basedOn w:val="DefaultParagraphFont"/>
    <w:uiPriority w:val="29"/>
    <w:semiHidden/>
    <w:rsid w:val="00DA0EFE"/>
    <w:rPr>
      <w:smallCaps/>
      <w:color w:val="6EA9BF" w:themeColor="accent2"/>
      <w:u w:val="single"/>
    </w:rPr>
  </w:style>
  <w:style w:type="paragraph" w:styleId="TableofAuthorities">
    <w:name w:val="table of authorities"/>
    <w:basedOn w:val="Normal"/>
    <w:next w:val="Normal"/>
    <w:uiPriority w:val="29"/>
    <w:semiHidden/>
    <w:rsid w:val="00DA0EFE"/>
    <w:pPr>
      <w:ind w:left="200" w:hanging="200"/>
    </w:pPr>
  </w:style>
  <w:style w:type="paragraph" w:styleId="TableofFigures">
    <w:name w:val="table of figures"/>
    <w:basedOn w:val="Normal"/>
    <w:next w:val="Normal"/>
    <w:uiPriority w:val="29"/>
    <w:semiHidden/>
    <w:rsid w:val="00DA0EFE"/>
  </w:style>
  <w:style w:type="table" w:styleId="TableTheme">
    <w:name w:val="Table Theme"/>
    <w:basedOn w:val="TableNormal"/>
    <w:rsid w:val="00DA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semiHidden/>
    <w:rsid w:val="00DA0EFE"/>
    <w:pPr>
      <w:pBdr>
        <w:bottom w:val="single" w:sz="8" w:space="4" w:color="00668E" w:themeColor="accent1"/>
      </w:pBdr>
      <w:spacing w:after="300"/>
      <w:contextualSpacing/>
    </w:pPr>
    <w:rPr>
      <w:rFonts w:asciiTheme="majorHAnsi" w:eastAsiaTheme="majorEastAsia" w:hAnsiTheme="majorHAnsi" w:cstheme="majorBidi"/>
      <w:color w:val="004C6A" w:themeColor="text2" w:themeShade="BF"/>
      <w:spacing w:val="5"/>
      <w:kern w:val="28"/>
      <w:sz w:val="52"/>
      <w:szCs w:val="52"/>
    </w:rPr>
  </w:style>
  <w:style w:type="character" w:customStyle="1" w:styleId="TitleChar">
    <w:name w:val="Title Char"/>
    <w:basedOn w:val="DefaultParagraphFont"/>
    <w:link w:val="Title"/>
    <w:uiPriority w:val="29"/>
    <w:semiHidden/>
    <w:rsid w:val="00DA0EFE"/>
    <w:rPr>
      <w:rFonts w:asciiTheme="majorHAnsi" w:eastAsiaTheme="majorEastAsia" w:hAnsiTheme="majorHAnsi" w:cstheme="majorBidi"/>
      <w:color w:val="004C6A" w:themeColor="text2" w:themeShade="BF"/>
      <w:spacing w:val="5"/>
      <w:kern w:val="28"/>
      <w:sz w:val="52"/>
      <w:szCs w:val="52"/>
    </w:rPr>
  </w:style>
  <w:style w:type="paragraph" w:styleId="TOAHeading">
    <w:name w:val="toa heading"/>
    <w:basedOn w:val="Normal"/>
    <w:next w:val="Normal"/>
    <w:uiPriority w:val="30"/>
    <w:rsid w:val="00F63727"/>
    <w:pPr>
      <w:tabs>
        <w:tab w:val="right" w:pos="9061"/>
      </w:tabs>
      <w:spacing w:before="0"/>
      <w:jc w:val="left"/>
    </w:pPr>
    <w:rPr>
      <w:rFonts w:asciiTheme="majorHAnsi" w:eastAsiaTheme="majorEastAsia" w:hAnsiTheme="majorHAnsi" w:cstheme="majorBidi"/>
      <w:b/>
      <w:bCs/>
      <w:caps/>
    </w:rPr>
  </w:style>
  <w:style w:type="paragraph" w:styleId="TOC1">
    <w:name w:val="toc 1"/>
    <w:basedOn w:val="Normal"/>
    <w:next w:val="Normal"/>
    <w:uiPriority w:val="39"/>
    <w:rsid w:val="00403750"/>
    <w:pPr>
      <w:tabs>
        <w:tab w:val="left" w:pos="567"/>
        <w:tab w:val="right" w:leader="dot" w:pos="9060"/>
      </w:tabs>
      <w:spacing w:before="0" w:after="0"/>
    </w:pPr>
  </w:style>
  <w:style w:type="paragraph" w:styleId="TOC2">
    <w:name w:val="toc 2"/>
    <w:basedOn w:val="Normal"/>
    <w:next w:val="Normal"/>
    <w:uiPriority w:val="39"/>
    <w:rsid w:val="0085403E"/>
    <w:pPr>
      <w:spacing w:before="0" w:after="0"/>
      <w:jc w:val="left"/>
    </w:pPr>
  </w:style>
  <w:style w:type="paragraph" w:styleId="TOC3">
    <w:name w:val="toc 3"/>
    <w:basedOn w:val="Normal"/>
    <w:next w:val="Normal"/>
    <w:uiPriority w:val="39"/>
    <w:rsid w:val="0085403E"/>
    <w:pPr>
      <w:spacing w:before="0" w:after="0"/>
      <w:jc w:val="left"/>
    </w:pPr>
  </w:style>
  <w:style w:type="paragraph" w:styleId="TOC4">
    <w:name w:val="toc 4"/>
    <w:basedOn w:val="Normal"/>
    <w:next w:val="Normal"/>
    <w:uiPriority w:val="39"/>
    <w:rsid w:val="003506EC"/>
  </w:style>
  <w:style w:type="paragraph" w:styleId="TOC5">
    <w:name w:val="toc 5"/>
    <w:basedOn w:val="Normal"/>
    <w:next w:val="Normal"/>
    <w:uiPriority w:val="39"/>
    <w:rsid w:val="003506EC"/>
    <w:pPr>
      <w:ind w:left="567"/>
    </w:pPr>
  </w:style>
  <w:style w:type="paragraph" w:styleId="TOC6">
    <w:name w:val="toc 6"/>
    <w:basedOn w:val="Normal"/>
    <w:next w:val="Normal"/>
    <w:autoRedefine/>
    <w:uiPriority w:val="29"/>
    <w:semiHidden/>
    <w:rsid w:val="00DA0EFE"/>
    <w:pPr>
      <w:ind w:left="1000"/>
    </w:pPr>
  </w:style>
  <w:style w:type="paragraph" w:styleId="TOC7">
    <w:name w:val="toc 7"/>
    <w:basedOn w:val="Normal"/>
    <w:next w:val="Normal"/>
    <w:autoRedefine/>
    <w:uiPriority w:val="29"/>
    <w:semiHidden/>
    <w:rsid w:val="00DA0EFE"/>
    <w:pPr>
      <w:ind w:left="1200"/>
    </w:pPr>
  </w:style>
  <w:style w:type="paragraph" w:styleId="TOC8">
    <w:name w:val="toc 8"/>
    <w:basedOn w:val="Normal"/>
    <w:next w:val="Normal"/>
    <w:autoRedefine/>
    <w:uiPriority w:val="29"/>
    <w:semiHidden/>
    <w:rsid w:val="00DA0EFE"/>
    <w:pPr>
      <w:ind w:left="1400"/>
    </w:pPr>
  </w:style>
  <w:style w:type="paragraph" w:styleId="TOC9">
    <w:name w:val="toc 9"/>
    <w:basedOn w:val="Normal"/>
    <w:next w:val="Normal"/>
    <w:autoRedefine/>
    <w:uiPriority w:val="29"/>
    <w:semiHidden/>
    <w:rsid w:val="00DA0EFE"/>
    <w:pPr>
      <w:ind w:left="1600"/>
    </w:pPr>
  </w:style>
  <w:style w:type="paragraph" w:styleId="TOCHeading">
    <w:name w:val="TOC Heading"/>
    <w:basedOn w:val="Heading1"/>
    <w:next w:val="Normal"/>
    <w:uiPriority w:val="29"/>
    <w:semiHidden/>
    <w:qFormat/>
    <w:rsid w:val="00DA0EFE"/>
    <w:pPr>
      <w:keepLines/>
      <w:spacing w:before="480" w:after="0"/>
      <w:outlineLvl w:val="9"/>
    </w:pPr>
    <w:rPr>
      <w:rFonts w:asciiTheme="majorHAnsi" w:eastAsiaTheme="majorEastAsia" w:hAnsiTheme="majorHAnsi" w:cstheme="majorBidi"/>
      <w:color w:val="004C6A" w:themeColor="accent1" w:themeShade="BF"/>
      <w:kern w:val="0"/>
      <w:sz w:val="28"/>
      <w:szCs w:val="28"/>
    </w:rPr>
  </w:style>
  <w:style w:type="paragraph" w:customStyle="1" w:styleId="security0">
    <w:name w:val="security"/>
    <w:basedOn w:val="Header"/>
    <w:next w:val="Header"/>
    <w:uiPriority w:val="39"/>
    <w:rsid w:val="004361A4"/>
    <w:rPr>
      <w:i/>
      <w:szCs w:val="16"/>
    </w:rPr>
  </w:style>
  <w:style w:type="paragraph" w:customStyle="1" w:styleId="Heading">
    <w:name w:val="Heading"/>
    <w:basedOn w:val="Normal"/>
    <w:next w:val="Normal"/>
    <w:uiPriority w:val="30"/>
    <w:rsid w:val="00EF466B"/>
    <w:rPr>
      <w:b/>
      <w:caps/>
      <w:sz w:val="24"/>
    </w:rPr>
  </w:style>
  <w:style w:type="paragraph" w:customStyle="1" w:styleId="SubHeading">
    <w:name w:val="SubHeading"/>
    <w:basedOn w:val="Heading"/>
    <w:next w:val="Normal"/>
    <w:uiPriority w:val="29"/>
    <w:rsid w:val="00EF466B"/>
    <w:pPr>
      <w:spacing w:after="200"/>
    </w:pPr>
    <w:rPr>
      <w:caps w:val="0"/>
      <w:sz w:val="20"/>
    </w:rPr>
  </w:style>
  <w:style w:type="paragraph" w:customStyle="1" w:styleId="Partieslist0">
    <w:name w:val="Parties list"/>
    <w:basedOn w:val="Normal"/>
    <w:uiPriority w:val="31"/>
    <w:rsid w:val="00934AE5"/>
    <w:pPr>
      <w:numPr>
        <w:numId w:val="22"/>
      </w:numPr>
    </w:pPr>
  </w:style>
  <w:style w:type="paragraph" w:customStyle="1" w:styleId="Whereaslist0">
    <w:name w:val="Whereas list"/>
    <w:basedOn w:val="Partieslist0"/>
    <w:uiPriority w:val="30"/>
    <w:rsid w:val="00934AE5"/>
    <w:pPr>
      <w:numPr>
        <w:numId w:val="16"/>
      </w:numPr>
    </w:pPr>
  </w:style>
  <w:style w:type="numbering" w:customStyle="1" w:styleId="PartiesList">
    <w:name w:val="PartiesList"/>
    <w:uiPriority w:val="99"/>
    <w:rsid w:val="009D23FE"/>
    <w:pPr>
      <w:numPr>
        <w:numId w:val="12"/>
      </w:numPr>
    </w:pPr>
  </w:style>
  <w:style w:type="numbering" w:customStyle="1" w:styleId="WhereasList">
    <w:name w:val="WhereasList"/>
    <w:uiPriority w:val="99"/>
    <w:rsid w:val="00AA50B1"/>
    <w:pPr>
      <w:numPr>
        <w:numId w:val="13"/>
      </w:numPr>
    </w:pPr>
  </w:style>
  <w:style w:type="numbering" w:customStyle="1" w:styleId="NumberedHeadings">
    <w:name w:val="NumberedHeadings"/>
    <w:uiPriority w:val="99"/>
    <w:rsid w:val="005A7D92"/>
    <w:pPr>
      <w:numPr>
        <w:numId w:val="14"/>
      </w:numPr>
    </w:pPr>
  </w:style>
  <w:style w:type="paragraph" w:customStyle="1" w:styleId="AlphaListLevel1">
    <w:name w:val="Alpha List Level 1"/>
    <w:basedOn w:val="Normal"/>
    <w:uiPriority w:val="18"/>
    <w:qFormat/>
    <w:rsid w:val="005A7D92"/>
    <w:pPr>
      <w:numPr>
        <w:ilvl w:val="5"/>
        <w:numId w:val="17"/>
      </w:numPr>
    </w:pPr>
  </w:style>
  <w:style w:type="paragraph" w:customStyle="1" w:styleId="RomanListLevel1">
    <w:name w:val="Roman List Level 1"/>
    <w:basedOn w:val="Normal"/>
    <w:uiPriority w:val="18"/>
    <w:qFormat/>
    <w:rsid w:val="005A7D92"/>
    <w:pPr>
      <w:numPr>
        <w:ilvl w:val="6"/>
        <w:numId w:val="17"/>
      </w:numPr>
    </w:pPr>
  </w:style>
  <w:style w:type="paragraph" w:customStyle="1" w:styleId="NormaltextLevel2">
    <w:name w:val="Normal text Level 2"/>
    <w:basedOn w:val="Normal"/>
    <w:qFormat/>
    <w:rsid w:val="00AA50B1"/>
    <w:pPr>
      <w:ind w:left="851"/>
    </w:pPr>
  </w:style>
  <w:style w:type="paragraph" w:customStyle="1" w:styleId="Sub-Paragraph1">
    <w:name w:val="Sub-Paragraph 1"/>
    <w:basedOn w:val="Heading2"/>
    <w:uiPriority w:val="4"/>
    <w:qFormat/>
    <w:rsid w:val="00A40688"/>
    <w:pPr>
      <w:keepNext w:val="0"/>
      <w:spacing w:before="100"/>
      <w:jc w:val="both"/>
      <w:outlineLvl w:val="9"/>
    </w:pPr>
    <w:rPr>
      <w:b w:val="0"/>
    </w:rPr>
  </w:style>
  <w:style w:type="paragraph" w:customStyle="1" w:styleId="Sub-Paragraph2">
    <w:name w:val="Sub-Paragraph 2"/>
    <w:basedOn w:val="Heading3"/>
    <w:uiPriority w:val="4"/>
    <w:qFormat/>
    <w:rsid w:val="00A40688"/>
    <w:pPr>
      <w:keepNext w:val="0"/>
      <w:spacing w:before="100"/>
      <w:jc w:val="both"/>
      <w:outlineLvl w:val="9"/>
    </w:pPr>
    <w:rPr>
      <w:b w:val="0"/>
    </w:rPr>
  </w:style>
  <w:style w:type="paragraph" w:customStyle="1" w:styleId="Sub-Paragraph3">
    <w:name w:val="Sub-Paragraph 3"/>
    <w:basedOn w:val="Heading4"/>
    <w:uiPriority w:val="4"/>
    <w:qFormat/>
    <w:rsid w:val="00A40688"/>
    <w:pPr>
      <w:keepNext w:val="0"/>
      <w:keepLines w:val="0"/>
      <w:spacing w:before="100"/>
      <w:outlineLvl w:val="9"/>
    </w:pPr>
    <w:rPr>
      <w:b w:val="0"/>
    </w:rPr>
  </w:style>
  <w:style w:type="paragraph" w:customStyle="1" w:styleId="Sub-Paragraph4">
    <w:name w:val="Sub-Paragraph 4"/>
    <w:basedOn w:val="Heading5"/>
    <w:uiPriority w:val="4"/>
    <w:qFormat/>
    <w:rsid w:val="00A40688"/>
    <w:pPr>
      <w:keepNext w:val="0"/>
      <w:keepLines w:val="0"/>
      <w:spacing w:before="100"/>
      <w:outlineLvl w:val="9"/>
    </w:pPr>
    <w:rPr>
      <w:b w:val="0"/>
    </w:rPr>
  </w:style>
  <w:style w:type="paragraph" w:customStyle="1" w:styleId="ScheduleHeading">
    <w:name w:val="Schedule Heading"/>
    <w:next w:val="ScheduleSubheading"/>
    <w:uiPriority w:val="25"/>
    <w:qFormat/>
    <w:rsid w:val="00A40688"/>
    <w:pPr>
      <w:pageBreakBefore/>
      <w:numPr>
        <w:numId w:val="21"/>
      </w:numPr>
      <w:spacing w:line="276" w:lineRule="auto"/>
      <w:jc w:val="center"/>
      <w:outlineLvl w:val="0"/>
    </w:pPr>
    <w:rPr>
      <w:rFonts w:asciiTheme="majorHAnsi" w:hAnsiTheme="majorHAnsi"/>
      <w:b/>
      <w:caps/>
      <w:sz w:val="22"/>
      <w:szCs w:val="24"/>
      <w:lang w:val="en-GB"/>
    </w:rPr>
  </w:style>
  <w:style w:type="paragraph" w:customStyle="1" w:styleId="ScheduleHeading1">
    <w:name w:val="Schedule Heading 1"/>
    <w:basedOn w:val="Normal"/>
    <w:next w:val="NormaltextLevel2"/>
    <w:uiPriority w:val="26"/>
    <w:qFormat/>
    <w:rsid w:val="00A40688"/>
    <w:pPr>
      <w:keepNext/>
      <w:numPr>
        <w:ilvl w:val="2"/>
        <w:numId w:val="21"/>
      </w:numPr>
      <w:spacing w:before="200"/>
      <w:jc w:val="left"/>
      <w:outlineLvl w:val="1"/>
    </w:pPr>
    <w:rPr>
      <w:b/>
      <w:caps/>
    </w:rPr>
  </w:style>
  <w:style w:type="paragraph" w:customStyle="1" w:styleId="ScheduleHeading2">
    <w:name w:val="Schedule Heading 2"/>
    <w:basedOn w:val="Normal"/>
    <w:next w:val="NormaltextLevel2"/>
    <w:uiPriority w:val="26"/>
    <w:qFormat/>
    <w:rsid w:val="00A40688"/>
    <w:pPr>
      <w:keepNext/>
      <w:numPr>
        <w:ilvl w:val="3"/>
        <w:numId w:val="21"/>
      </w:numPr>
      <w:spacing w:before="240"/>
      <w:outlineLvl w:val="2"/>
    </w:pPr>
    <w:rPr>
      <w:b/>
    </w:rPr>
  </w:style>
  <w:style w:type="paragraph" w:customStyle="1" w:styleId="ScheduleHeading3">
    <w:name w:val="Schedule Heading 3"/>
    <w:basedOn w:val="Normal"/>
    <w:next w:val="NormaltextLevel2"/>
    <w:uiPriority w:val="26"/>
    <w:qFormat/>
    <w:rsid w:val="00A40688"/>
    <w:pPr>
      <w:keepNext/>
      <w:numPr>
        <w:ilvl w:val="4"/>
        <w:numId w:val="21"/>
      </w:numPr>
      <w:spacing w:before="240"/>
      <w:outlineLvl w:val="3"/>
    </w:pPr>
    <w:rPr>
      <w:b/>
      <w:noProof/>
    </w:rPr>
  </w:style>
  <w:style w:type="paragraph" w:customStyle="1" w:styleId="ScheduleHeading4">
    <w:name w:val="Schedule Heading 4"/>
    <w:basedOn w:val="Normal"/>
    <w:next w:val="NormaltextLevel2"/>
    <w:uiPriority w:val="26"/>
    <w:qFormat/>
    <w:rsid w:val="00A40688"/>
    <w:pPr>
      <w:spacing w:before="240"/>
      <w:outlineLvl w:val="4"/>
    </w:pPr>
    <w:rPr>
      <w:b/>
    </w:rPr>
  </w:style>
  <w:style w:type="paragraph" w:customStyle="1" w:styleId="ScheduleHeading5">
    <w:name w:val="Schedule Heading 5"/>
    <w:basedOn w:val="Normal"/>
    <w:next w:val="NormaltextLevel2"/>
    <w:uiPriority w:val="26"/>
    <w:qFormat/>
    <w:rsid w:val="00A40688"/>
    <w:pPr>
      <w:spacing w:before="240"/>
      <w:outlineLvl w:val="5"/>
    </w:pPr>
    <w:rPr>
      <w:b/>
      <w:noProof/>
    </w:rPr>
  </w:style>
  <w:style w:type="paragraph" w:customStyle="1" w:styleId="ScheduleAlphaListLevel1">
    <w:name w:val="Schedule Alpha List Level 1"/>
    <w:basedOn w:val="Normal"/>
    <w:uiPriority w:val="27"/>
    <w:qFormat/>
    <w:rsid w:val="00394331"/>
    <w:pPr>
      <w:numPr>
        <w:ilvl w:val="5"/>
        <w:numId w:val="21"/>
      </w:numPr>
    </w:pPr>
  </w:style>
  <w:style w:type="paragraph" w:customStyle="1" w:styleId="ScheduleRomanListLevel1">
    <w:name w:val="Schedule Roman  List Level 1"/>
    <w:basedOn w:val="Normal"/>
    <w:uiPriority w:val="27"/>
    <w:qFormat/>
    <w:rsid w:val="00394331"/>
    <w:pPr>
      <w:numPr>
        <w:ilvl w:val="6"/>
        <w:numId w:val="21"/>
      </w:numPr>
    </w:pPr>
    <w:rPr>
      <w:noProof/>
    </w:rPr>
  </w:style>
  <w:style w:type="numbering" w:customStyle="1" w:styleId="ScheduleList">
    <w:name w:val="Schedule List"/>
    <w:uiPriority w:val="99"/>
    <w:rsid w:val="00394331"/>
    <w:pPr>
      <w:numPr>
        <w:numId w:val="15"/>
      </w:numPr>
    </w:pPr>
  </w:style>
  <w:style w:type="character" w:customStyle="1" w:styleId="NoSpacingChar">
    <w:name w:val="No Spacing Char"/>
    <w:basedOn w:val="DefaultParagraphFont"/>
    <w:link w:val="NoSpacing"/>
    <w:uiPriority w:val="1"/>
    <w:rsid w:val="005D4129"/>
    <w:rPr>
      <w:rFonts w:ascii="Arial" w:hAnsi="Arial"/>
      <w:szCs w:val="24"/>
    </w:rPr>
  </w:style>
  <w:style w:type="paragraph" w:customStyle="1" w:styleId="NumberedListLevel1">
    <w:name w:val="Numbered List Level 1"/>
    <w:basedOn w:val="Normal"/>
    <w:uiPriority w:val="19"/>
    <w:qFormat/>
    <w:rsid w:val="005A7D92"/>
    <w:pPr>
      <w:numPr>
        <w:ilvl w:val="8"/>
        <w:numId w:val="17"/>
      </w:numPr>
    </w:pPr>
  </w:style>
  <w:style w:type="paragraph" w:customStyle="1" w:styleId="NormaltextLevel3">
    <w:name w:val="Normal text Level 3"/>
    <w:basedOn w:val="Normal"/>
    <w:qFormat/>
    <w:rsid w:val="009A388A"/>
    <w:pPr>
      <w:ind w:left="1418"/>
    </w:pPr>
  </w:style>
  <w:style w:type="paragraph" w:customStyle="1" w:styleId="LetterListLevel1">
    <w:name w:val="Letter List Level 1"/>
    <w:basedOn w:val="Normal"/>
    <w:uiPriority w:val="19"/>
    <w:qFormat/>
    <w:rsid w:val="005A7D92"/>
    <w:pPr>
      <w:numPr>
        <w:ilvl w:val="7"/>
        <w:numId w:val="17"/>
      </w:numPr>
    </w:pPr>
  </w:style>
  <w:style w:type="paragraph" w:customStyle="1" w:styleId="NormaltextLevel4">
    <w:name w:val="Normal text Level 4"/>
    <w:basedOn w:val="Normal"/>
    <w:qFormat/>
    <w:rsid w:val="009A388A"/>
    <w:pPr>
      <w:ind w:left="1985"/>
    </w:pPr>
    <w:rPr>
      <w:noProof/>
    </w:rPr>
  </w:style>
  <w:style w:type="paragraph" w:customStyle="1" w:styleId="NormaltextLevel5">
    <w:name w:val="Normal text Level 5"/>
    <w:basedOn w:val="Normal"/>
    <w:qFormat/>
    <w:rsid w:val="009A388A"/>
    <w:pPr>
      <w:ind w:left="2552"/>
    </w:pPr>
    <w:rPr>
      <w:noProof/>
    </w:rPr>
  </w:style>
  <w:style w:type="paragraph" w:customStyle="1" w:styleId="AlphaListLevel2">
    <w:name w:val="Alpha List Level 2"/>
    <w:basedOn w:val="Normal"/>
    <w:uiPriority w:val="20"/>
    <w:qFormat/>
    <w:rsid w:val="00A97193"/>
    <w:pPr>
      <w:numPr>
        <w:numId w:val="18"/>
      </w:numPr>
    </w:pPr>
    <w:rPr>
      <w:noProof/>
    </w:rPr>
  </w:style>
  <w:style w:type="paragraph" w:customStyle="1" w:styleId="RomanListLevel2">
    <w:name w:val="Roman List Level 2"/>
    <w:basedOn w:val="Normal"/>
    <w:uiPriority w:val="20"/>
    <w:qFormat/>
    <w:rsid w:val="00A97193"/>
    <w:pPr>
      <w:numPr>
        <w:ilvl w:val="1"/>
        <w:numId w:val="18"/>
      </w:numPr>
    </w:pPr>
    <w:rPr>
      <w:noProof/>
    </w:rPr>
  </w:style>
  <w:style w:type="paragraph" w:customStyle="1" w:styleId="LetterListLevel2">
    <w:name w:val="Letter List Level 2"/>
    <w:basedOn w:val="Normal"/>
    <w:uiPriority w:val="21"/>
    <w:qFormat/>
    <w:rsid w:val="00A97193"/>
    <w:pPr>
      <w:numPr>
        <w:ilvl w:val="2"/>
        <w:numId w:val="18"/>
      </w:numPr>
    </w:pPr>
    <w:rPr>
      <w:noProof/>
    </w:rPr>
  </w:style>
  <w:style w:type="paragraph" w:customStyle="1" w:styleId="NumberedListLevel2">
    <w:name w:val="Numbered List Level 2"/>
    <w:basedOn w:val="Normal"/>
    <w:uiPriority w:val="24"/>
    <w:qFormat/>
    <w:rsid w:val="00A97193"/>
    <w:pPr>
      <w:numPr>
        <w:ilvl w:val="3"/>
        <w:numId w:val="18"/>
      </w:numPr>
    </w:pPr>
  </w:style>
  <w:style w:type="numbering" w:customStyle="1" w:styleId="ListNumberedLevel2">
    <w:name w:val="List Numbered Level 2"/>
    <w:uiPriority w:val="99"/>
    <w:rsid w:val="00A97193"/>
    <w:pPr>
      <w:numPr>
        <w:numId w:val="18"/>
      </w:numPr>
    </w:pPr>
  </w:style>
  <w:style w:type="paragraph" w:customStyle="1" w:styleId="ScheduleSubheading">
    <w:name w:val="Schedule Subheading"/>
    <w:basedOn w:val="Normal"/>
    <w:next w:val="Normal"/>
    <w:uiPriority w:val="99"/>
    <w:qFormat/>
    <w:rsid w:val="00E40B2E"/>
    <w:pPr>
      <w:keepNext/>
      <w:jc w:val="center"/>
    </w:pPr>
    <w:rPr>
      <w:sz w:val="24"/>
    </w:rPr>
  </w:style>
  <w:style w:type="paragraph" w:customStyle="1" w:styleId="AppendixHeading">
    <w:name w:val="Appendix Heading"/>
    <w:basedOn w:val="Normal"/>
    <w:uiPriority w:val="25"/>
    <w:qFormat/>
    <w:rsid w:val="00A40688"/>
    <w:pPr>
      <w:numPr>
        <w:ilvl w:val="1"/>
        <w:numId w:val="21"/>
      </w:numPr>
      <w:jc w:val="center"/>
      <w:outlineLvl w:val="0"/>
    </w:pPr>
    <w:rPr>
      <w:b/>
      <w:caps/>
    </w:rPr>
  </w:style>
  <w:style w:type="paragraph" w:customStyle="1" w:styleId="ScheduleLetterListLevel1">
    <w:name w:val="Schedule Letter List Level 1"/>
    <w:basedOn w:val="Normal"/>
    <w:uiPriority w:val="28"/>
    <w:qFormat/>
    <w:rsid w:val="00394331"/>
    <w:pPr>
      <w:numPr>
        <w:ilvl w:val="7"/>
        <w:numId w:val="21"/>
      </w:numPr>
    </w:pPr>
  </w:style>
  <w:style w:type="paragraph" w:customStyle="1" w:styleId="ScheduleNumberedListLevel1">
    <w:name w:val="Schedule Numbered List Level 1"/>
    <w:basedOn w:val="Normal"/>
    <w:uiPriority w:val="28"/>
    <w:qFormat/>
    <w:rsid w:val="00394331"/>
    <w:pPr>
      <w:numPr>
        <w:ilvl w:val="8"/>
        <w:numId w:val="21"/>
      </w:numPr>
    </w:pPr>
  </w:style>
  <w:style w:type="paragraph" w:customStyle="1" w:styleId="SchedulePart">
    <w:name w:val="Schedule Part"/>
    <w:basedOn w:val="Normal"/>
    <w:next w:val="ScheduleHeading1"/>
    <w:uiPriority w:val="25"/>
    <w:qFormat/>
    <w:rsid w:val="00E40B2E"/>
    <w:pPr>
      <w:keepNext/>
      <w:numPr>
        <w:numId w:val="23"/>
      </w:numPr>
      <w:spacing w:after="0"/>
      <w:jc w:val="center"/>
      <w:outlineLvl w:val="1"/>
    </w:pPr>
    <w:rPr>
      <w:b/>
      <w:caps/>
    </w:rPr>
  </w:style>
  <w:style w:type="numbering" w:customStyle="1" w:styleId="SchedulePartList">
    <w:name w:val="Schedule PartList"/>
    <w:uiPriority w:val="99"/>
    <w:rsid w:val="00394331"/>
    <w:pPr>
      <w:numPr>
        <w:numId w:val="19"/>
      </w:numPr>
    </w:pPr>
  </w:style>
  <w:style w:type="paragraph" w:customStyle="1" w:styleId="ScheduleAlphaListLevel2">
    <w:name w:val="Schedule Alpha List Level 2"/>
    <w:basedOn w:val="Normal"/>
    <w:uiPriority w:val="29"/>
    <w:qFormat/>
    <w:rsid w:val="00DE2EA8"/>
    <w:pPr>
      <w:numPr>
        <w:numId w:val="20"/>
      </w:numPr>
    </w:pPr>
  </w:style>
  <w:style w:type="paragraph" w:customStyle="1" w:styleId="ScheduleRomanListLevel2">
    <w:name w:val="Schedule Roman List Level 2"/>
    <w:basedOn w:val="ScheduleAlphaListLevel2"/>
    <w:uiPriority w:val="29"/>
    <w:qFormat/>
    <w:rsid w:val="00DE2EA8"/>
    <w:pPr>
      <w:numPr>
        <w:ilvl w:val="1"/>
      </w:numPr>
    </w:pPr>
  </w:style>
  <w:style w:type="numbering" w:customStyle="1" w:styleId="ScheduleListLevel2">
    <w:name w:val="Schedule List Level 2"/>
    <w:uiPriority w:val="99"/>
    <w:rsid w:val="00DE2EA8"/>
    <w:pPr>
      <w:numPr>
        <w:numId w:val="20"/>
      </w:numPr>
    </w:pPr>
  </w:style>
  <w:style w:type="character" w:customStyle="1" w:styleId="HeaderChar">
    <w:name w:val="Header Char"/>
    <w:basedOn w:val="DefaultParagraphFont"/>
    <w:link w:val="Header"/>
    <w:uiPriority w:val="30"/>
    <w:rsid w:val="00E40B2E"/>
    <w:rPr>
      <w:rFonts w:ascii="Calibri" w:hAnsi="Calibri"/>
      <w:color w:val="ABABAB"/>
      <w:sz w:val="16"/>
      <w:szCs w:val="24"/>
      <w:lang w:val="en-GB"/>
    </w:rPr>
  </w:style>
  <w:style w:type="paragraph" w:customStyle="1" w:styleId="Frontpagestyle1">
    <w:name w:val="Frontpage style 1"/>
    <w:basedOn w:val="Normal"/>
    <w:uiPriority w:val="44"/>
    <w:qFormat/>
    <w:rsid w:val="003B166A"/>
    <w:pPr>
      <w:spacing w:before="240"/>
      <w:jc w:val="center"/>
    </w:pPr>
    <w:rPr>
      <w:rFonts w:asciiTheme="minorHAnsi" w:eastAsiaTheme="majorEastAsia" w:hAnsiTheme="minorHAnsi" w:cstheme="minorHAnsi"/>
      <w:sz w:val="24"/>
      <w:szCs w:val="28"/>
    </w:rPr>
  </w:style>
  <w:style w:type="paragraph" w:customStyle="1" w:styleId="Frontpagestyle2">
    <w:name w:val="Frontpage style 2"/>
    <w:basedOn w:val="Normal"/>
    <w:uiPriority w:val="44"/>
    <w:qFormat/>
    <w:rsid w:val="008865A0"/>
    <w:pPr>
      <w:spacing w:before="240"/>
      <w:jc w:val="center"/>
    </w:pPr>
    <w:rPr>
      <w:rFonts w:asciiTheme="minorHAnsi" w:eastAsiaTheme="majorEastAsia" w:hAnsiTheme="minorHAnsi" w:cstheme="minorHAnsi"/>
      <w:szCs w:val="22"/>
    </w:rPr>
  </w:style>
  <w:style w:type="paragraph" w:customStyle="1" w:styleId="Frontpagestyle3">
    <w:name w:val="Frontpage style 3"/>
    <w:basedOn w:val="Frontpagestyle2"/>
    <w:uiPriority w:val="44"/>
    <w:qFormat/>
    <w:rsid w:val="008865A0"/>
    <w:pPr>
      <w:spacing w:before="0" w:after="0"/>
    </w:pPr>
  </w:style>
  <w:style w:type="table" w:styleId="ColorfulGrid">
    <w:name w:val="Colorful Grid"/>
    <w:basedOn w:val="TableNormal"/>
    <w:uiPriority w:val="73"/>
    <w:rsid w:val="00F04F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F04F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DA6" w:themeFill="accent2" w:themeFillShade="CC"/>
      </w:tcPr>
    </w:tblStylePr>
    <w:tblStylePr w:type="lastRow">
      <w:rPr>
        <w:b/>
        <w:bCs/>
        <w:color w:val="498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F04FEB"/>
    <w:rPr>
      <w:color w:val="000000" w:themeColor="text1"/>
    </w:rPr>
    <w:tblPr>
      <w:tblStyleRowBandSize w:val="1"/>
      <w:tblStyleColBandSize w:val="1"/>
      <w:tblBorders>
        <w:top w:val="single" w:sz="24" w:space="0" w:color="6EA9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EA9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04F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F04F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04FEB"/>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insideH w:val="single" w:sz="8" w:space="0" w:color="00668E" w:themeColor="accent1"/>
        <w:insideV w:val="single" w:sz="8" w:space="0" w:color="0066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18" w:space="0" w:color="00668E" w:themeColor="accent1"/>
          <w:right w:val="single" w:sz="8" w:space="0" w:color="00668E" w:themeColor="accent1"/>
          <w:insideH w:val="nil"/>
          <w:insideV w:val="single" w:sz="8" w:space="0" w:color="0066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insideH w:val="nil"/>
          <w:insideV w:val="single" w:sz="8" w:space="0" w:color="0066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shd w:val="clear" w:color="auto" w:fill="A4E5FF" w:themeFill="accent1" w:themeFillTint="3F"/>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shd w:val="clear" w:color="auto" w:fill="A4E5FF" w:themeFill="accent1" w:themeFillTint="3F"/>
      </w:tcPr>
    </w:tblStylePr>
    <w:tblStylePr w:type="band2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insideV w:val="single" w:sz="8" w:space="0" w:color="00668E" w:themeColor="accent1"/>
        </w:tcBorders>
      </w:tcPr>
    </w:tblStylePr>
  </w:style>
  <w:style w:type="table" w:styleId="LightList">
    <w:name w:val="Light List"/>
    <w:basedOn w:val="TableNormal"/>
    <w:uiPriority w:val="61"/>
    <w:rsid w:val="00F04F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04FEB"/>
    <w:tblPr>
      <w:tblStyleRowBandSize w:val="1"/>
      <w:tblStyleColBandSize w:val="1"/>
      <w:tblBorders>
        <w:top w:val="single" w:sz="8" w:space="0" w:color="00668E" w:themeColor="accent1"/>
        <w:left w:val="single" w:sz="8" w:space="0" w:color="00668E" w:themeColor="accent1"/>
        <w:bottom w:val="single" w:sz="8" w:space="0" w:color="00668E" w:themeColor="accent1"/>
        <w:right w:val="single" w:sz="8" w:space="0" w:color="00668E" w:themeColor="accent1"/>
      </w:tblBorders>
    </w:tblPr>
    <w:tblStylePr w:type="firstRow">
      <w:pPr>
        <w:spacing w:before="0" w:after="0" w:line="240" w:lineRule="auto"/>
      </w:pPr>
      <w:rPr>
        <w:b/>
        <w:bCs/>
        <w:color w:val="FFFFFF" w:themeColor="background1"/>
      </w:rPr>
      <w:tblPr/>
      <w:tcPr>
        <w:shd w:val="clear" w:color="auto" w:fill="00668E" w:themeFill="accent1"/>
      </w:tcPr>
    </w:tblStylePr>
    <w:tblStylePr w:type="lastRow">
      <w:pPr>
        <w:spacing w:before="0" w:after="0" w:line="240" w:lineRule="auto"/>
      </w:pPr>
      <w:rPr>
        <w:b/>
        <w:bCs/>
      </w:rPr>
      <w:tblPr/>
      <w:tcPr>
        <w:tcBorders>
          <w:top w:val="double" w:sz="6" w:space="0" w:color="00668E" w:themeColor="accent1"/>
          <w:left w:val="single" w:sz="8" w:space="0" w:color="00668E" w:themeColor="accent1"/>
          <w:bottom w:val="single" w:sz="8" w:space="0" w:color="00668E" w:themeColor="accent1"/>
          <w:right w:val="single" w:sz="8" w:space="0" w:color="00668E" w:themeColor="accent1"/>
        </w:tcBorders>
      </w:tcPr>
    </w:tblStylePr>
    <w:tblStylePr w:type="firstCol">
      <w:rPr>
        <w:b/>
        <w:bCs/>
      </w:rPr>
    </w:tblStylePr>
    <w:tblStylePr w:type="lastCol">
      <w:rPr>
        <w:b/>
        <w:bCs/>
      </w:rPr>
    </w:tblStylePr>
    <w:tblStylePr w:type="band1Vert">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tblStylePr w:type="band1Horz">
      <w:tblPr/>
      <w:tcPr>
        <w:tcBorders>
          <w:top w:val="single" w:sz="8" w:space="0" w:color="00668E" w:themeColor="accent1"/>
          <w:left w:val="single" w:sz="8" w:space="0" w:color="00668E" w:themeColor="accent1"/>
          <w:bottom w:val="single" w:sz="8" w:space="0" w:color="00668E" w:themeColor="accent1"/>
          <w:right w:val="single" w:sz="8" w:space="0" w:color="00668E" w:themeColor="accent1"/>
        </w:tcBorders>
      </w:tcPr>
    </w:tblStylePr>
  </w:style>
  <w:style w:type="table" w:styleId="LightShading">
    <w:name w:val="Light Shading"/>
    <w:basedOn w:val="TableNormal"/>
    <w:uiPriority w:val="60"/>
    <w:rsid w:val="00F04F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4FEB"/>
    <w:rPr>
      <w:color w:val="004C6A" w:themeColor="accent1" w:themeShade="BF"/>
    </w:rPr>
    <w:tblPr>
      <w:tblStyleRowBandSize w:val="1"/>
      <w:tblStyleColBandSize w:val="1"/>
      <w:tblBorders>
        <w:top w:val="single" w:sz="8" w:space="0" w:color="00668E" w:themeColor="accent1"/>
        <w:bottom w:val="single" w:sz="8" w:space="0" w:color="00668E" w:themeColor="accent1"/>
      </w:tblBorders>
    </w:tblPr>
    <w:tblStylePr w:type="fir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lastRow">
      <w:pPr>
        <w:spacing w:before="0" w:after="0" w:line="240" w:lineRule="auto"/>
      </w:pPr>
      <w:rPr>
        <w:b/>
        <w:bCs/>
      </w:rPr>
      <w:tblPr/>
      <w:tcPr>
        <w:tcBorders>
          <w:top w:val="single" w:sz="8" w:space="0" w:color="00668E" w:themeColor="accent1"/>
          <w:left w:val="nil"/>
          <w:bottom w:val="single" w:sz="8" w:space="0" w:color="0066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5FF" w:themeFill="accent1" w:themeFillTint="3F"/>
      </w:tcPr>
    </w:tblStylePr>
    <w:tblStylePr w:type="band1Horz">
      <w:tblPr/>
      <w:tcPr>
        <w:tcBorders>
          <w:left w:val="nil"/>
          <w:right w:val="nil"/>
          <w:insideH w:val="nil"/>
          <w:insideV w:val="nil"/>
        </w:tcBorders>
        <w:shd w:val="clear" w:color="auto" w:fill="A4E5FF" w:themeFill="accent1" w:themeFillTint="3F"/>
      </w:tcPr>
    </w:tblStylePr>
  </w:style>
  <w:style w:type="table" w:styleId="MediumGrid1">
    <w:name w:val="Medium Grid 1"/>
    <w:basedOn w:val="TableNormal"/>
    <w:uiPriority w:val="67"/>
    <w:rsid w:val="00F04F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F04F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F04F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F04F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04FEB"/>
    <w:rPr>
      <w:color w:val="000000" w:themeColor="text1"/>
    </w:rPr>
    <w:tblPr>
      <w:tblStyleRowBandSize w:val="1"/>
      <w:tblStyleColBandSize w:val="1"/>
      <w:tblBorders>
        <w:top w:val="single" w:sz="8" w:space="0" w:color="00668E" w:themeColor="accent1"/>
        <w:bottom w:val="single" w:sz="8" w:space="0" w:color="00668E" w:themeColor="accent1"/>
      </w:tblBorders>
    </w:tblPr>
    <w:tblStylePr w:type="firstRow">
      <w:rPr>
        <w:rFonts w:asciiTheme="majorHAnsi" w:eastAsiaTheme="majorEastAsia" w:hAnsiTheme="majorHAnsi" w:cstheme="majorBidi"/>
      </w:rPr>
      <w:tblPr/>
      <w:tcPr>
        <w:tcBorders>
          <w:top w:val="nil"/>
          <w:bottom w:val="single" w:sz="8" w:space="0" w:color="00668E" w:themeColor="accent1"/>
        </w:tcBorders>
      </w:tcPr>
    </w:tblStylePr>
    <w:tblStylePr w:type="lastRow">
      <w:rPr>
        <w:b/>
        <w:bCs/>
        <w:color w:val="00668E" w:themeColor="text2"/>
      </w:rPr>
      <w:tblPr/>
      <w:tcPr>
        <w:tcBorders>
          <w:top w:val="single" w:sz="8" w:space="0" w:color="00668E" w:themeColor="accent1"/>
          <w:bottom w:val="single" w:sz="8" w:space="0" w:color="00668E" w:themeColor="accent1"/>
        </w:tcBorders>
      </w:tcPr>
    </w:tblStylePr>
    <w:tblStylePr w:type="firstCol">
      <w:rPr>
        <w:b/>
        <w:bCs/>
      </w:rPr>
    </w:tblStylePr>
    <w:tblStylePr w:type="lastCol">
      <w:rPr>
        <w:b/>
        <w:bCs/>
      </w:rPr>
      <w:tblPr/>
      <w:tcPr>
        <w:tcBorders>
          <w:top w:val="single" w:sz="8" w:space="0" w:color="00668E" w:themeColor="accent1"/>
          <w:bottom w:val="single" w:sz="8" w:space="0" w:color="00668E" w:themeColor="accent1"/>
        </w:tcBorders>
      </w:tcPr>
    </w:tblStylePr>
    <w:tblStylePr w:type="band1Vert">
      <w:tblPr/>
      <w:tcPr>
        <w:shd w:val="clear" w:color="auto" w:fill="A4E5FF" w:themeFill="accent1" w:themeFillTint="3F"/>
      </w:tcPr>
    </w:tblStylePr>
    <w:tblStylePr w:type="band1Horz">
      <w:tblPr/>
      <w:tcPr>
        <w:shd w:val="clear" w:color="auto" w:fill="A4E5FF" w:themeFill="accent1" w:themeFillTint="3F"/>
      </w:tcPr>
    </w:tblStylePr>
  </w:style>
  <w:style w:type="table" w:styleId="MediumList2">
    <w:name w:val="Medium List 2"/>
    <w:basedOn w:val="TableNormal"/>
    <w:uiPriority w:val="66"/>
    <w:rsid w:val="00F04F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04F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04FEB"/>
    <w:tblPr>
      <w:tblStyleRowBandSize w:val="1"/>
      <w:tblStyleColBandSize w:val="1"/>
      <w:tbl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single" w:sz="8" w:space="0" w:color="00A8EA" w:themeColor="accent1" w:themeTint="BF"/>
      </w:tblBorders>
    </w:tblPr>
    <w:tblStylePr w:type="firstRow">
      <w:pPr>
        <w:spacing w:before="0" w:after="0" w:line="240" w:lineRule="auto"/>
      </w:pPr>
      <w:rPr>
        <w:b/>
        <w:bCs/>
        <w:color w:val="FFFFFF" w:themeColor="background1"/>
      </w:rPr>
      <w:tblPr/>
      <w:tcPr>
        <w:tcBorders>
          <w:top w:val="single" w:sz="8"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shd w:val="clear" w:color="auto" w:fill="00668E" w:themeFill="accent1"/>
      </w:tcPr>
    </w:tblStylePr>
    <w:tblStylePr w:type="lastRow">
      <w:pPr>
        <w:spacing w:before="0" w:after="0" w:line="240" w:lineRule="auto"/>
      </w:pPr>
      <w:rPr>
        <w:b/>
        <w:bCs/>
      </w:rPr>
      <w:tblPr/>
      <w:tcPr>
        <w:tcBorders>
          <w:top w:val="double" w:sz="6" w:space="0" w:color="00A8EA" w:themeColor="accent1" w:themeTint="BF"/>
          <w:left w:val="single" w:sz="8" w:space="0" w:color="00A8EA" w:themeColor="accent1" w:themeTint="BF"/>
          <w:bottom w:val="single" w:sz="8" w:space="0" w:color="00A8EA" w:themeColor="accent1" w:themeTint="BF"/>
          <w:right w:val="single" w:sz="8" w:space="0" w:color="00A8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5FF" w:themeFill="accent1" w:themeFillTint="3F"/>
      </w:tcPr>
    </w:tblStylePr>
    <w:tblStylePr w:type="band1Horz">
      <w:tblPr/>
      <w:tcPr>
        <w:tcBorders>
          <w:insideH w:val="nil"/>
          <w:insideV w:val="nil"/>
        </w:tcBorders>
        <w:shd w:val="clear" w:color="auto" w:fill="A4E5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04F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04F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8E" w:themeFill="accent1"/>
      </w:tcPr>
    </w:tblStylePr>
    <w:tblStylePr w:type="lastCol">
      <w:rPr>
        <w:b/>
        <w:bCs/>
        <w:color w:val="FFFFFF" w:themeColor="background1"/>
      </w:rPr>
      <w:tblPr/>
      <w:tcPr>
        <w:tcBorders>
          <w:left w:val="nil"/>
          <w:right w:val="nil"/>
          <w:insideH w:val="nil"/>
          <w:insideV w:val="nil"/>
        </w:tcBorders>
        <w:shd w:val="clear" w:color="auto" w:fill="0066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Plainnumberlist">
    <w:name w:val="Plain number list"/>
    <w:uiPriority w:val="99"/>
    <w:rsid w:val="00C907D5"/>
    <w:pPr>
      <w:numPr>
        <w:numId w:val="24"/>
      </w:numPr>
    </w:pPr>
  </w:style>
  <w:style w:type="paragraph" w:customStyle="1" w:styleId="Plainnumber">
    <w:name w:val="Plain number"/>
    <w:basedOn w:val="Normal"/>
    <w:uiPriority w:val="26"/>
    <w:qFormat/>
    <w:rsid w:val="00C907D5"/>
    <w:pPr>
      <w:numPr>
        <w:numId w:val="25"/>
      </w:numPr>
    </w:pPr>
    <w:rPr>
      <w:noProof/>
    </w:rPr>
  </w:style>
  <w:style w:type="paragraph" w:customStyle="1" w:styleId="Frontpagestyle0titleCapital">
    <w:name w:val="Frontpage style 0 (title) Capital"/>
    <w:basedOn w:val="Frontpagestyle1"/>
    <w:uiPriority w:val="99"/>
    <w:qFormat/>
    <w:rsid w:val="009E5D35"/>
    <w:rPr>
      <w:caps/>
    </w:rPr>
  </w:style>
  <w:style w:type="paragraph" w:customStyle="1" w:styleId="TableHeaderWhite">
    <w:name w:val="Table Header White"/>
    <w:basedOn w:val="Normal"/>
    <w:uiPriority w:val="2"/>
    <w:qFormat/>
    <w:rsid w:val="009D42C6"/>
    <w:pPr>
      <w:spacing w:before="120" w:after="120"/>
    </w:pPr>
    <w:rPr>
      <w:rFonts w:asciiTheme="minorHAnsi" w:hAnsiTheme="minorHAnsi" w:cstheme="minorHAnsi"/>
      <w:b/>
      <w:color w:val="FFFFFF" w:themeColor="background1"/>
      <w:lang w:val="en-US"/>
    </w:rPr>
  </w:style>
  <w:style w:type="paragraph" w:customStyle="1" w:styleId="Tabletext">
    <w:name w:val="Table text"/>
    <w:basedOn w:val="Normal"/>
    <w:uiPriority w:val="2"/>
    <w:qFormat/>
    <w:rsid w:val="009D42C6"/>
    <w:pPr>
      <w:spacing w:before="120" w:after="120"/>
      <w:jc w:val="left"/>
    </w:pPr>
    <w:rPr>
      <w:rFonts w:asciiTheme="minorHAnsi" w:hAnsiTheme="minorHAnsi" w:cstheme="minorHAnsi"/>
      <w:sz w:val="20"/>
      <w:szCs w:val="20"/>
    </w:rPr>
  </w:style>
  <w:style w:type="paragraph" w:customStyle="1" w:styleId="Tabletextsmall">
    <w:name w:val="Table text small"/>
    <w:basedOn w:val="Normal"/>
    <w:uiPriority w:val="2"/>
    <w:qFormat/>
    <w:rsid w:val="009D42C6"/>
    <w:pPr>
      <w:tabs>
        <w:tab w:val="left" w:pos="851"/>
        <w:tab w:val="left" w:pos="1418"/>
      </w:tabs>
      <w:spacing w:before="0" w:after="0" w:line="240" w:lineRule="auto"/>
      <w:jc w:val="left"/>
    </w:pPr>
    <w:rPr>
      <w:rFonts w:cs="Calibri"/>
      <w:sz w:val="16"/>
      <w:szCs w:val="16"/>
    </w:rPr>
  </w:style>
  <w:style w:type="table" w:customStyle="1" w:styleId="DDtabell1">
    <w:name w:val="DD tabell 1"/>
    <w:basedOn w:val="TableNormal"/>
    <w:uiPriority w:val="99"/>
    <w:rsid w:val="0088345E"/>
    <w:rPr>
      <w:rFonts w:asciiTheme="minorHAnsi" w:hAnsiTheme="minorHAnsi"/>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tblPr/>
      <w:tcPr>
        <w:shd w:val="clear" w:color="auto" w:fill="00668E" w:themeFill="accent1"/>
      </w:tcPr>
    </w:tblStylePr>
  </w:style>
  <w:style w:type="table" w:customStyle="1" w:styleId="DDtabell2">
    <w:name w:val="DD tabell 2"/>
    <w:basedOn w:val="TableNormal"/>
    <w:uiPriority w:val="99"/>
    <w:rsid w:val="0088345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shd w:val="clear" w:color="auto" w:fill="00668E" w:themeFill="accent1"/>
      </w:tcPr>
    </w:tblStylePr>
  </w:style>
  <w:style w:type="paragraph" w:styleId="Revision">
    <w:name w:val="Revision"/>
    <w:hidden/>
    <w:uiPriority w:val="99"/>
    <w:semiHidden/>
    <w:rsid w:val="00616AB6"/>
    <w:rPr>
      <w:rFonts w:ascii="Calibri" w:hAnsi="Calibri"/>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irsjo\AppData\Roaming\Microsoft\Templates\41%20Hamilton%20standard.dotm" TargetMode="External"/></Relationships>
</file>

<file path=word/theme/theme1.xml><?xml version="1.0" encoding="utf-8"?>
<a:theme xmlns:a="http://schemas.openxmlformats.org/drawingml/2006/main" name="Hamilton">
  <a:themeElements>
    <a:clrScheme name="Hamilton">
      <a:dk1>
        <a:sysClr val="windowText" lastClr="000000"/>
      </a:dk1>
      <a:lt1>
        <a:sysClr val="window" lastClr="FFFFFF"/>
      </a:lt1>
      <a:dk2>
        <a:srgbClr val="00668E"/>
      </a:dk2>
      <a:lt2>
        <a:srgbClr val="EEECE1"/>
      </a:lt2>
      <a:accent1>
        <a:srgbClr val="00668E"/>
      </a:accent1>
      <a:accent2>
        <a:srgbClr val="6EA9BF"/>
      </a:accent2>
      <a:accent3>
        <a:srgbClr val="C5DCE7"/>
      </a:accent3>
      <a:accent4>
        <a:srgbClr val="8C949E"/>
      </a:accent4>
      <a:accent5>
        <a:srgbClr val="C52B1A"/>
      </a:accent5>
      <a:accent6>
        <a:srgbClr val="DB0B51"/>
      </a:accent6>
      <a:hlink>
        <a:srgbClr val="0000FF"/>
      </a:hlink>
      <a:folHlink>
        <a:srgbClr val="800080"/>
      </a:folHlink>
    </a:clrScheme>
    <a:fontScheme name="Hamilt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Hamilton" id="{194D11DB-D169-4EA9-95F4-95C7A0E09ED1}" vid="{0B401393-9598-4FAF-A708-840F204FB1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 L E G A L ! 6 9 4 3 6 6 . 2 < / d o c u m e n t i d >  
     < s e n d e r i d > A D A M . S I R S J O < / s e n d e r i d >  
     < s e n d e r e m a i l > A D A M . S I R S J O @ S C H J O D T . C O M < / s e n d e r e m a i l >  
     < l a s t m o d i f i e d > 2 0 2 1 - 1 0 - 2 0 T 2 1 : 2 3 : 0 0 . 0 0 0 0 0 0 0 + 0 2 : 0 0 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064C-B8B8-4F0D-A819-A5F7D4C39A80}">
  <ds:schemaRefs>
    <ds:schemaRef ds:uri="http://www.imanage.com/work/xmlschema"/>
  </ds:schemaRefs>
</ds:datastoreItem>
</file>

<file path=customXml/itemProps2.xml><?xml version="1.0" encoding="utf-8"?>
<ds:datastoreItem xmlns:ds="http://schemas.openxmlformats.org/officeDocument/2006/customXml" ds:itemID="{8DF1B8D7-DDDD-4BCC-B766-58863481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 Hamilton standard</Template>
  <TotalTime>0</TotalTime>
  <Pages>23</Pages>
  <Words>10409</Words>
  <Characters>57981</Characters>
  <Application>Microsoft Office Word</Application>
  <DocSecurity>4</DocSecurity>
  <Lines>1093</Lines>
  <Paragraphs>367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Hamilton Advokatbyrå KB</Company>
  <LinksUpToDate>false</LinksUpToDate>
  <CharactersWithSpaces>68023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Advokatbyrå</dc:creator>
  <cp:lastModifiedBy>Adam Sirsjö / Schjødt</cp:lastModifiedBy>
  <cp:revision>2</cp:revision>
  <cp:lastPrinted>2019-07-03T05:49:00Z</cp:lastPrinted>
  <dcterms:created xsi:type="dcterms:W3CDTF">2022-10-20T10:24:00Z</dcterms:created>
  <dcterms:modified xsi:type="dcterms:W3CDTF">2022-10-20T10:24:00Z</dcterms:modified>
  <cp:version>2.0.6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Infoga;Language;Hake;HList;NPara;HTable</vt:lpwstr>
  </property>
  <property fmtid="{D5CDD505-2E9C-101B-9397-08002B2CF9AE}" pid="3" name="PSACClient">
    <vt:lpwstr>1019788</vt:lpwstr>
  </property>
  <property fmtid="{D5CDD505-2E9C-101B-9397-08002B2CF9AE}" pid="4" name="PSACMatter">
    <vt:lpwstr>1019788-602</vt:lpwstr>
  </property>
</Properties>
</file>